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  <w:t>ИНТЕГРАЦИЯ СИСТЕМЫ ЦИФРОВОЙ ОБРАБОТКИ С ЭЛЕКТРОФИЗИЧЕСКОЙ УСТАНОВКОЙ ДЛЯ ОПРЕДЕЛЕНИЯ АКУСТИЧЕСКИХ ХАРАКТЕРИСТИК ТОНКИХ СТРОИТЕЛЬНЫХ ПАНЕЛЕЙ</w:t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/>
          <w:sz w:val="24"/>
          <w:szCs w:val="24"/>
          <w:u w:val="single"/>
          <w:vertAlign w:val="superscript"/>
        </w:rPr>
      </w:pPr>
      <w:r>
        <w:rPr>
          <w:rFonts w:eastAsia="Times New Roman" w:ascii="Times New Roman" w:hAnsi="Times New Roman"/>
          <w:sz w:val="24"/>
          <w:szCs w:val="24"/>
        </w:rPr>
        <w:t>Баранов А.В.</w:t>
      </w:r>
      <w:r>
        <w:rPr>
          <w:rFonts w:eastAsia="Times New Roman" w:ascii="Times New Roman" w:hAnsi="Times New Roman"/>
          <w:sz w:val="24"/>
          <w:szCs w:val="24"/>
          <w:vertAlign w:val="superscript"/>
        </w:rPr>
        <w:t>1</w:t>
      </w:r>
      <w:r>
        <w:rPr>
          <w:rFonts w:eastAsia="Times New Roman" w:ascii="Times New Roman" w:hAnsi="Times New Roman"/>
          <w:sz w:val="24"/>
          <w:szCs w:val="24"/>
        </w:rPr>
        <w:t>, Петров Н.Ю.</w:t>
      </w:r>
      <w:r>
        <w:rPr>
          <w:rFonts w:eastAsia="Times New Roman" w:ascii="Times New Roman" w:hAnsi="Times New Roman"/>
          <w:sz w:val="24"/>
          <w:szCs w:val="24"/>
          <w:vertAlign w:val="superscript"/>
        </w:rPr>
        <w:t>1</w:t>
      </w:r>
      <w:r>
        <w:rPr>
          <w:rFonts w:eastAsia="Times New Roman" w:ascii="Times New Roman" w:hAnsi="Times New Roman"/>
          <w:sz w:val="24"/>
          <w:szCs w:val="24"/>
        </w:rPr>
        <w:t xml:space="preserve">, </w:t>
      </w:r>
      <w:r>
        <w:rPr>
          <w:rFonts w:eastAsia="Times New Roman" w:ascii="Times New Roman" w:hAnsi="Times New Roman"/>
          <w:sz w:val="24"/>
          <w:szCs w:val="24"/>
          <w:u w:val="single"/>
        </w:rPr>
        <w:t>Серикова В.А.</w:t>
      </w:r>
      <w:r>
        <w:rPr>
          <w:rFonts w:eastAsia="Times New Roman" w:ascii="Times New Roman" w:hAnsi="Times New Roman"/>
          <w:sz w:val="24"/>
          <w:szCs w:val="24"/>
          <w:u w:val="single"/>
          <w:vertAlign w:val="superscript"/>
        </w:rPr>
        <w:t>2</w:t>
      </w:r>
      <w:r>
        <w:rPr>
          <w:rFonts w:eastAsia="Times New Roman" w:ascii="Times New Roman" w:hAnsi="Times New Roman"/>
          <w:sz w:val="24"/>
          <w:szCs w:val="24"/>
          <w:u w:val="single"/>
        </w:rPr>
        <w:t>, Шитикова Е.А.</w:t>
      </w:r>
      <w:r>
        <w:rPr>
          <w:rFonts w:eastAsia="Times New Roman" w:ascii="Times New Roman" w:hAnsi="Times New Roman"/>
          <w:sz w:val="24"/>
          <w:szCs w:val="24"/>
          <w:vertAlign w:val="superscript"/>
        </w:rPr>
        <w:t>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i/>
          <w:i/>
          <w:sz w:val="24"/>
          <w:szCs w:val="24"/>
        </w:rPr>
      </w:pPr>
      <w:r>
        <w:rPr>
          <w:rFonts w:eastAsia="Times New Roman" w:ascii="Times New Roman" w:hAnsi="Times New Roman"/>
          <w:i/>
          <w:sz w:val="24"/>
          <w:szCs w:val="24"/>
          <w:vertAlign w:val="superscript"/>
        </w:rPr>
        <w:t>1</w:t>
      </w:r>
      <w:r>
        <w:rPr>
          <w:rFonts w:eastAsia="Times New Roman" w:ascii="Times New Roman" w:hAnsi="Times New Roman"/>
          <w:i/>
          <w:sz w:val="24"/>
          <w:szCs w:val="24"/>
        </w:rPr>
        <w:t>Федеральное государственное бюджетное образовательное учреждение высшего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i/>
          <w:i/>
          <w:sz w:val="24"/>
          <w:szCs w:val="24"/>
        </w:rPr>
      </w:pPr>
      <w:r>
        <w:rPr>
          <w:rFonts w:eastAsia="Times New Roman" w:ascii="Times New Roman" w:hAnsi="Times New Roman"/>
          <w:i/>
          <w:sz w:val="24"/>
          <w:szCs w:val="24"/>
        </w:rPr>
        <w:t>образования Новосибирский государственный технический университет, Новосибирск,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i/>
          <w:i/>
          <w:sz w:val="24"/>
          <w:szCs w:val="24"/>
        </w:rPr>
      </w:pPr>
      <w:r>
        <w:rPr>
          <w:rFonts w:eastAsia="Times New Roman" w:ascii="Times New Roman" w:hAnsi="Times New Roman"/>
          <w:i/>
          <w:sz w:val="24"/>
          <w:szCs w:val="24"/>
        </w:rPr>
        <w:t>Россия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i/>
          <w:i/>
          <w:sz w:val="24"/>
          <w:szCs w:val="24"/>
        </w:rPr>
      </w:pPr>
      <w:r>
        <w:rPr>
          <w:rFonts w:eastAsia="Times New Roman" w:ascii="Times New Roman" w:hAnsi="Times New Roman"/>
          <w:i/>
          <w:sz w:val="24"/>
          <w:szCs w:val="24"/>
          <w:vertAlign w:val="superscript"/>
        </w:rPr>
        <w:t>2</w:t>
      </w:r>
      <w:r>
        <w:rPr>
          <w:rFonts w:eastAsia="Times New Roman" w:ascii="Times New Roman" w:hAnsi="Times New Roman"/>
          <w:i/>
          <w:sz w:val="24"/>
          <w:szCs w:val="24"/>
        </w:rPr>
        <w:t>Лицей №126, Новосибирск, Россия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i/>
          <w:i/>
          <w:sz w:val="24"/>
          <w:szCs w:val="24"/>
        </w:rPr>
      </w:pPr>
      <w:r>
        <w:rPr>
          <w:rFonts w:ascii="Times New Roman" w:hAnsi="Times New Roman"/>
          <w:i/>
        </w:rPr>
        <w:t>n.petrov@corp.nstu.ru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i/>
          <w:i/>
          <w:sz w:val="24"/>
          <w:szCs w:val="24"/>
        </w:rPr>
      </w:pPr>
      <w:r>
        <w:rPr>
          <w:rFonts w:eastAsia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Как утверждают эксперты, технической основой цифровой экономики будут кибер-физические системы (КФС) [1-3]. Последние сочетают в себе технические компоненты, функционирующие в соответствии с физическими принципами и компоненты, осуществляющие цифровой анализ и управление предыдущими [1].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Начальным этапом нашего исследования стало изучение проблемы использования тонких строительных панелей (ТСП) для звукоизоляции в помещениях. В основе проблемы, в том числе, лежат физические явления  проникновения и отражения звука на границах раздела сред. Отношение удельных акустических сопротивлений двух контактирующих сред определяет амплитуды и энергии прошедшей и отраженной звуковых волн [4]. Удельные акустические сопротивления могут быть рассчитаны по известным значениям плотности вещества и фазовой скорости звука в материале панели. Для ТСП такой расчет затрудняется проблемой определением скорости звука в панели, что связано с малым временем распространения акустического сигнала (порядка 1-3 мкс).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Целью нашей работы является разработка макета КФС, позволяющей в автоматизированном режиме осуществлять диагностику акустических характеристик выпускаемых предприятиями тонких строительных панелей с учетом малого времени распространения акустического сигнала в них.</w:t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Нами была разработана электрофизическая установка для измерения акустических характеристик ТСП. Функционирование системы основано, в частности, на прямом и обратном преобразованиях электромагнитного сигнала в акустический. Исследуемая ТСП размещается между излучателем звука  и приемником. В качестве последних элементов в установке используются акустические динамики. На первый динамик подается переменное напряжение с генератора звуковых частот. Акустический сигнал, прошедший через ТСП, попадает во второй динамик и преобразуется в переменное напряжение. Малое время запаздывания акустического сигнала в ТСП регистрируется с использованием двухканального цифрового осциллографа (АКТАКОМ АОС-5062), на который подаются электромагнитные  сигналы с излучателя и детектора звука.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Фазовый сдвиг выходного сигнала по отношению к входному сигналу позволяет найти время распространения звука в ТСП. При этом необходимо учитывать конечное время распространения звука в воздушных зазорах динамик-панель-динамик. С этой целью производятся два измерения времени запаздывания сигнала: 1) с панелью между двумя динамиками и 2) с двумя динамиками, расстояние между которыми уменьшено на толщину панели по сравнению с расстоянием в предыдущем эксперименте.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Проведённые эксперименты</w:t>
      </w:r>
      <w:r>
        <w:rPr>
          <w:rFonts w:ascii="Times New Roman" w:hAnsi="Times New Roman"/>
        </w:rPr>
        <w:t xml:space="preserve"> </w:t>
      </w:r>
      <w:r>
        <w:rPr>
          <w:rFonts w:eastAsia="Times New Roman" w:ascii="Times New Roman" w:hAnsi="Times New Roman"/>
          <w:sz w:val="24"/>
          <w:szCs w:val="24"/>
        </w:rPr>
        <w:t xml:space="preserve">легли в основу методики, позволяющей рассчитать скорость звука и удельное акустическое сопротивление материала ТСП. Был установлен ряд факторов, влияющих на объективность получаемых данных,  и определены возможности повышения точности измерения и расчётов. Наиболее существенным оказался факт наличия в сигнале детектора большой «шумовой» компоненты. Перед нами встала задача обработки сигнала с целью выделения основной гармонической составляющей на фоне неустранимых помех.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В экспериментах задача была решена с помощью функции цифровой фильтрации осциллографа. Использовался цифровой фильтр нижних частот, выделяющий основную гармонику сигнала. Это позволило продемонстрировать возможности предлагаемой методики измерения скорости звука в ТСП.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4"/>
          <w:szCs w:val="24"/>
        </w:rPr>
        <w:t>Следующим этапом исследования</w:t>
      </w:r>
      <w:r>
        <w:rPr>
          <w:rFonts w:ascii="Times New Roman" w:hAnsi="Times New Roman"/>
        </w:rPr>
        <w:t xml:space="preserve"> стала </w:t>
      </w:r>
      <w:r>
        <w:rPr>
          <w:rFonts w:eastAsia="Times New Roman" w:ascii="Times New Roman" w:hAnsi="Times New Roman"/>
          <w:sz w:val="24"/>
          <w:szCs w:val="24"/>
        </w:rPr>
        <w:t xml:space="preserve">разработка макета КФС, представляющей собой интеграцию нашей электрофизической установки с компьютером, осуществляющим цифровую обработку сигналов без использования осциллографа и производство необходимых расчетов акустических характеристик. С целью  апробации макета КФС файлы с данными оцифровки сигналов осциллографом использовались для обработки в СКМ </w:t>
      </w:r>
      <w:r>
        <w:rPr>
          <w:rFonts w:eastAsia="Times New Roman" w:ascii="Times New Roman" w:hAnsi="Times New Roman"/>
          <w:sz w:val="24"/>
          <w:szCs w:val="24"/>
          <w:lang w:val="en-US"/>
        </w:rPr>
        <w:t>MathCad</w:t>
      </w:r>
      <w:r>
        <w:rPr>
          <w:rFonts w:eastAsia="Times New Roman" w:ascii="Times New Roman" w:hAnsi="Times New Roman"/>
          <w:sz w:val="24"/>
          <w:szCs w:val="24"/>
        </w:rPr>
        <w:t>.  Обработка осуществлялась с помощью написанной программы фильтрации, основанной на преобразованиях Фурье. Использовались две встроенные функций MathCad:1) READPRN, возвращающая матрицу, в которой каждая строка определяется записью (строкой) анализируемого файла оцифрованного сигнала, 2) FFT, воз</w:t>
      </w:r>
      <w:bookmarkStart w:id="0" w:name="_GoBack"/>
      <w:bookmarkEnd w:id="0"/>
      <w:r>
        <w:rPr>
          <w:rFonts w:eastAsia="Times New Roman" w:ascii="Times New Roman" w:hAnsi="Times New Roman"/>
          <w:sz w:val="24"/>
          <w:szCs w:val="24"/>
        </w:rPr>
        <w:t>вращающая матрицу коэффициентов ряда Фурье. С</w:t>
      </w:r>
      <w:r>
        <w:rPr>
          <w:rFonts w:ascii="Times New Roman" w:hAnsi="Times New Roman"/>
          <w:sz w:val="24"/>
          <w:szCs w:val="24"/>
        </w:rPr>
        <w:t xml:space="preserve"> использованием последних определялся фазовый сдвиг основной гармоники выходного сигнала по отношению к входному и вычислялась скорость звука в ТСП. Произведение скорости звука на усредненное значение плотности вещества ТСП позволило сделать количественную оценку значения удельного акустического сопротивления ТСП.</w:t>
      </w:r>
    </w:p>
    <w:p>
      <w:pPr>
        <w:pStyle w:val="Normal"/>
        <w:spacing w:lineRule="auto" w:line="240"/>
        <w:jc w:val="both"/>
        <w:rPr/>
      </w:pPr>
      <w:r>
        <w:rPr>
          <w:rFonts w:eastAsia="Times New Roman" w:ascii="Times New Roman" w:hAnsi="Times New Roman"/>
          <w:sz w:val="24"/>
          <w:szCs w:val="24"/>
        </w:rPr>
        <w:t>Положительные результаты апробации нашего макета интегрированной измерительной системы с цифровой обработкой данных позволяют утверждать возможност</w:t>
      </w:r>
      <w:r>
        <w:rPr>
          <w:rFonts w:eastAsia="Times New Roman" w:ascii="Times New Roman" w:hAnsi="Times New Roman"/>
          <w:sz w:val="24"/>
          <w:szCs w:val="24"/>
        </w:rPr>
        <w:t>ь</w:t>
      </w:r>
      <w:r>
        <w:rPr>
          <w:rFonts w:eastAsia="Times New Roman" w:ascii="Times New Roman" w:hAnsi="Times New Roman"/>
          <w:sz w:val="24"/>
          <w:szCs w:val="24"/>
        </w:rPr>
        <w:t xml:space="preserve"> создания автономных КФС, позволяющих в автоматизированном режиме осуществлять диагностику акустических характеристик выпускаемых предприятиями тонких строительных панелей с последующей передачей данных на пункт контроля изделий.</w:t>
      </w:r>
    </w:p>
    <w:p>
      <w:pPr>
        <w:pStyle w:val="Default"/>
        <w:widowControl w:val="false"/>
        <w:numPr>
          <w:ilvl w:val="0"/>
          <w:numId w:val="1"/>
        </w:numPr>
        <w:ind w:left="426" w:hanging="426"/>
        <w:rPr>
          <w:lang w:val="en-US"/>
        </w:rPr>
      </w:pPr>
      <w:r>
        <w:rPr/>
        <w:t xml:space="preserve">В.П. Куприяновский, Д.Е. Намиот, С.А. Синягов. </w:t>
      </w:r>
      <w:r>
        <w:rPr>
          <w:i/>
          <w:iCs/>
          <w:lang w:val="en-US"/>
        </w:rPr>
        <w:t>International Journal of Open Information Technologies</w:t>
      </w:r>
      <w:r>
        <w:rPr>
          <w:lang w:val="en-US"/>
        </w:rPr>
        <w:t xml:space="preserve">, </w:t>
      </w:r>
      <w:r>
        <w:rPr>
          <w:b/>
          <w:bCs/>
          <w:lang w:val="en-US"/>
        </w:rPr>
        <w:t>4,</w:t>
      </w:r>
      <w:r>
        <w:rPr>
          <w:lang w:val="en-US"/>
        </w:rPr>
        <w:t xml:space="preserve"> no. 2, 18-25.</w:t>
      </w:r>
    </w:p>
    <w:p>
      <w:pPr>
        <w:pStyle w:val="Normal"/>
        <w:numPr>
          <w:ilvl w:val="0"/>
          <w:numId w:val="1"/>
        </w:numPr>
        <w:pBdr/>
        <w:spacing w:lineRule="auto" w:line="240" w:before="0" w:after="0"/>
        <w:ind w:left="426" w:hanging="426"/>
        <w:rPr>
          <w:rFonts w:ascii="Times New Roman" w:hAnsi="Times New Roman" w:eastAsia="Times New Roman"/>
          <w:kern w:val="2"/>
          <w:sz w:val="24"/>
          <w:szCs w:val="24"/>
        </w:rPr>
      </w:pPr>
      <w:r>
        <w:rPr>
          <w:rFonts w:eastAsia="Times New Roman" w:ascii="Times New Roman" w:hAnsi="Times New Roman"/>
          <w:kern w:val="2"/>
          <w:sz w:val="24"/>
          <w:szCs w:val="24"/>
        </w:rPr>
        <w:t xml:space="preserve">E.A. Lee. </w:t>
      </w:r>
      <w:r>
        <w:rPr>
          <w:rFonts w:eastAsia="Times New Roman" w:ascii="Times New Roman" w:hAnsi="Times New Roman"/>
          <w:i/>
          <w:kern w:val="2"/>
          <w:sz w:val="24"/>
          <w:szCs w:val="24"/>
        </w:rPr>
        <w:t>Sensors</w:t>
      </w:r>
      <w:r>
        <w:rPr>
          <w:rFonts w:eastAsia="Times New Roman" w:ascii="Times New Roman" w:hAnsi="Times New Roman"/>
          <w:kern w:val="2"/>
          <w:sz w:val="24"/>
          <w:szCs w:val="24"/>
        </w:rPr>
        <w:t xml:space="preserve">, 2015, </w:t>
      </w:r>
      <w:r>
        <w:rPr>
          <w:rFonts w:eastAsia="Times New Roman" w:ascii="Times New Roman" w:hAnsi="Times New Roman"/>
          <w:b/>
          <w:bCs/>
          <w:kern w:val="2"/>
          <w:sz w:val="24"/>
          <w:szCs w:val="24"/>
        </w:rPr>
        <w:t>15</w:t>
      </w:r>
      <w:r>
        <w:rPr>
          <w:rFonts w:eastAsia="Times New Roman" w:ascii="Times New Roman" w:hAnsi="Times New Roman"/>
          <w:kern w:val="2"/>
          <w:sz w:val="24"/>
          <w:szCs w:val="24"/>
        </w:rPr>
        <w:t>, 4837–4869.</w:t>
      </w:r>
    </w:p>
    <w:p>
      <w:pPr>
        <w:pStyle w:val="Normal"/>
        <w:numPr>
          <w:ilvl w:val="0"/>
          <w:numId w:val="1"/>
        </w:numPr>
        <w:pBdr/>
        <w:spacing w:lineRule="auto" w:line="240" w:before="0" w:after="0"/>
        <w:ind w:left="426" w:hanging="426"/>
        <w:rPr>
          <w:rFonts w:ascii="Times New Roman" w:hAnsi="Times New Roman" w:eastAsia="Times New Roman"/>
          <w:kern w:val="2"/>
          <w:sz w:val="24"/>
          <w:szCs w:val="24"/>
          <w:lang w:val="en-US"/>
        </w:rPr>
      </w:pPr>
      <w:r>
        <w:rPr>
          <w:rFonts w:eastAsia="Times New Roman" w:ascii="Times New Roman" w:hAnsi="Times New Roman"/>
          <w:kern w:val="2"/>
          <w:sz w:val="24"/>
          <w:szCs w:val="24"/>
          <w:lang w:val="en-US"/>
        </w:rPr>
        <w:t xml:space="preserve">R.F. Li, Y. Xie, R. Li, and L. Li. </w:t>
      </w:r>
      <w:r>
        <w:rPr>
          <w:rFonts w:eastAsia="Times New Roman" w:ascii="Times New Roman" w:hAnsi="Times New Roman"/>
          <w:i/>
          <w:kern w:val="2"/>
          <w:sz w:val="24"/>
          <w:szCs w:val="24"/>
          <w:lang w:val="en-US"/>
        </w:rPr>
        <w:t>J. Comp. Res. Dev.</w:t>
      </w:r>
      <w:r>
        <w:rPr>
          <w:rFonts w:eastAsia="Times New Roman" w:ascii="Times New Roman" w:hAnsi="Times New Roman"/>
          <w:kern w:val="2"/>
          <w:sz w:val="24"/>
          <w:szCs w:val="24"/>
          <w:lang w:val="en-US"/>
        </w:rPr>
        <w:t xml:space="preserve">, 2012, </w:t>
      </w:r>
      <w:r>
        <w:rPr>
          <w:rFonts w:eastAsia="Times New Roman" w:ascii="Times New Roman" w:hAnsi="Times New Roman"/>
          <w:b/>
          <w:bCs/>
          <w:kern w:val="2"/>
          <w:sz w:val="24"/>
          <w:szCs w:val="24"/>
          <w:lang w:val="en-US"/>
        </w:rPr>
        <w:t>49</w:t>
      </w:r>
      <w:r>
        <w:rPr>
          <w:rFonts w:eastAsia="Times New Roman" w:ascii="Times New Roman" w:hAnsi="Times New Roman"/>
          <w:kern w:val="2"/>
          <w:sz w:val="24"/>
          <w:szCs w:val="24"/>
          <w:lang w:val="en-US"/>
        </w:rPr>
        <w:t>, 1149</w:t>
      </w:r>
      <w:r>
        <w:rPr>
          <w:rFonts w:eastAsia="NimbusRomNo9L-Regu" w:ascii="Times New Roman" w:hAnsi="Times New Roman"/>
          <w:kern w:val="2"/>
          <w:sz w:val="24"/>
          <w:szCs w:val="24"/>
          <w:lang w:val="en-US"/>
        </w:rPr>
        <w:t>–</w:t>
      </w:r>
      <w:r>
        <w:rPr>
          <w:rFonts w:eastAsia="Times New Roman" w:ascii="Times New Roman" w:hAnsi="Times New Roman"/>
          <w:kern w:val="2"/>
          <w:sz w:val="24"/>
          <w:szCs w:val="24"/>
          <w:lang w:val="en-US"/>
        </w:rPr>
        <w:t>1161.</w:t>
      </w:r>
    </w:p>
    <w:p>
      <w:pPr>
        <w:pStyle w:val="Normal"/>
        <w:numPr>
          <w:ilvl w:val="0"/>
          <w:numId w:val="1"/>
        </w:numPr>
        <w:pBdr/>
        <w:spacing w:lineRule="auto" w:line="240" w:before="0" w:after="0"/>
        <w:ind w:left="426" w:hanging="426"/>
        <w:rPr/>
      </w:pPr>
      <w:r>
        <w:rPr>
          <w:rFonts w:ascii="Times New Roman" w:hAnsi="Times New Roman"/>
          <w:sz w:val="24"/>
          <w:szCs w:val="24"/>
          <w:lang w:val="en-US"/>
        </w:rPr>
        <w:t xml:space="preserve">B. Zeqiri, W. Scholl, S.P. Robinson. 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Metrologia</w:t>
      </w:r>
      <w:r>
        <w:rPr>
          <w:rFonts w:ascii="Times New Roman" w:hAnsi="Times New Roman"/>
          <w:sz w:val="24"/>
          <w:szCs w:val="24"/>
          <w:lang w:val="en-US"/>
        </w:rPr>
        <w:t xml:space="preserve">, 2010, </w:t>
      </w:r>
      <w:r>
        <w:rPr>
          <w:rFonts w:ascii="Times New Roman" w:hAnsi="Times New Roman"/>
          <w:b/>
          <w:sz w:val="24"/>
          <w:szCs w:val="24"/>
        </w:rPr>
        <w:t>47</w:t>
      </w:r>
      <w:r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</w:rPr>
        <w:t>156–171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0"/>
      </w:pPr>
      <w:rPr>
        <w:sz w:val="24"/>
        <w:b w:val="false"/>
        <w:kern w:val="2"/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720" w:hanging="0"/>
      </w:pPr>
      <w:rPr>
        <w:b w:val="false"/>
        <w:kern w:val="2"/>
      </w:rPr>
    </w:lvl>
    <w:lvl w:ilvl="2">
      <w:start w:val="1"/>
      <w:numFmt w:val="decimal"/>
      <w:lvlText w:val="%2.%3."/>
      <w:lvlJc w:val="left"/>
      <w:pPr>
        <w:ind w:left="1080" w:hanging="0"/>
      </w:pPr>
      <w:rPr>
        <w:b w:val="false"/>
        <w:kern w:val="2"/>
      </w:rPr>
    </w:lvl>
    <w:lvl w:ilvl="3">
      <w:start w:val="1"/>
      <w:numFmt w:val="decimal"/>
      <w:lvlText w:val="%2.%3.%4."/>
      <w:lvlJc w:val="left"/>
      <w:pPr>
        <w:ind w:left="1440" w:hanging="0"/>
      </w:pPr>
      <w:rPr>
        <w:b w:val="false"/>
        <w:kern w:val="2"/>
      </w:rPr>
    </w:lvl>
    <w:lvl w:ilvl="4">
      <w:start w:val="1"/>
      <w:numFmt w:val="decimal"/>
      <w:lvlText w:val="%2.%3.%4.%5."/>
      <w:lvlJc w:val="left"/>
      <w:pPr>
        <w:ind w:left="1800" w:hanging="0"/>
      </w:pPr>
      <w:rPr>
        <w:b w:val="false"/>
        <w:kern w:val="2"/>
      </w:rPr>
    </w:lvl>
    <w:lvl w:ilvl="5">
      <w:start w:val="1"/>
      <w:numFmt w:val="decimal"/>
      <w:lvlText w:val="%2.%3.%4.%5.%6."/>
      <w:lvlJc w:val="left"/>
      <w:pPr>
        <w:ind w:left="2160" w:hanging="0"/>
      </w:pPr>
      <w:rPr>
        <w:b w:val="false"/>
        <w:kern w:val="2"/>
      </w:rPr>
    </w:lvl>
    <w:lvl w:ilvl="6">
      <w:start w:val="1"/>
      <w:numFmt w:val="decimal"/>
      <w:lvlText w:val="%2.%3.%4.%5.%6.%7."/>
      <w:lvlJc w:val="left"/>
      <w:pPr>
        <w:ind w:left="2520" w:hanging="0"/>
      </w:pPr>
      <w:rPr>
        <w:b w:val="false"/>
        <w:kern w:val="2"/>
      </w:rPr>
    </w:lvl>
    <w:lvl w:ilvl="7">
      <w:start w:val="1"/>
      <w:numFmt w:val="decimal"/>
      <w:lvlText w:val="%2.%3.%4.%5.%6.%7.%8."/>
      <w:lvlJc w:val="left"/>
      <w:pPr>
        <w:ind w:left="2880" w:hanging="0"/>
      </w:pPr>
      <w:rPr>
        <w:b w:val="false"/>
        <w:kern w:val="2"/>
      </w:rPr>
    </w:lvl>
    <w:lvl w:ilvl="8">
      <w:start w:val="1"/>
      <w:numFmt w:val="decimal"/>
      <w:lvlText w:val="%2.%3.%4.%5.%6.%7.%8.%9."/>
      <w:lvlJc w:val="left"/>
      <w:pPr>
        <w:ind w:left="3240" w:hanging="0"/>
      </w:pPr>
      <w:rPr>
        <w:b w:val="false"/>
        <w:kern w:val="2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53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rPr>
      <w:color w:val="0563C1"/>
      <w:u w:val="single"/>
    </w:rPr>
  </w:style>
  <w:style w:type="character" w:styleId="ListLabel1">
    <w:name w:val="ListLabel 1"/>
    <w:qFormat/>
    <w:rPr>
      <w:rFonts w:ascii="Times New Roman" w:hAnsi="Times New Roman"/>
      <w:b w:val="false"/>
      <w:kern w:val="2"/>
      <w:sz w:val="24"/>
    </w:rPr>
  </w:style>
  <w:style w:type="character" w:styleId="ListLabel2">
    <w:name w:val="ListLabel 2"/>
    <w:qFormat/>
    <w:rPr>
      <w:b w:val="false"/>
      <w:kern w:val="2"/>
    </w:rPr>
  </w:style>
  <w:style w:type="character" w:styleId="ListLabel3">
    <w:name w:val="ListLabel 3"/>
    <w:qFormat/>
    <w:rPr>
      <w:b w:val="false"/>
      <w:kern w:val="2"/>
    </w:rPr>
  </w:style>
  <w:style w:type="character" w:styleId="ListLabel4">
    <w:name w:val="ListLabel 4"/>
    <w:qFormat/>
    <w:rPr>
      <w:b w:val="false"/>
      <w:kern w:val="2"/>
    </w:rPr>
  </w:style>
  <w:style w:type="character" w:styleId="ListLabel5">
    <w:name w:val="ListLabel 5"/>
    <w:qFormat/>
    <w:rPr>
      <w:b w:val="false"/>
      <w:kern w:val="2"/>
    </w:rPr>
  </w:style>
  <w:style w:type="character" w:styleId="ListLabel6">
    <w:name w:val="ListLabel 6"/>
    <w:qFormat/>
    <w:rPr>
      <w:b w:val="false"/>
      <w:kern w:val="2"/>
    </w:rPr>
  </w:style>
  <w:style w:type="character" w:styleId="ListLabel7">
    <w:name w:val="ListLabel 7"/>
    <w:qFormat/>
    <w:rPr>
      <w:b w:val="false"/>
      <w:kern w:val="2"/>
    </w:rPr>
  </w:style>
  <w:style w:type="character" w:styleId="ListLabel8">
    <w:name w:val="ListLabel 8"/>
    <w:qFormat/>
    <w:rPr>
      <w:b w:val="false"/>
      <w:kern w:val="2"/>
    </w:rPr>
  </w:style>
  <w:style w:type="character" w:styleId="ListLabel9">
    <w:name w:val="ListLabel 9"/>
    <w:qFormat/>
    <w:rPr>
      <w:b w:val="false"/>
      <w:kern w:val="2"/>
    </w:rPr>
  </w:style>
  <w:style w:type="character" w:styleId="Style15">
    <w:name w:val="Символ концевой сноск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 Unicode M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 Unicode MS"/>
    </w:rPr>
  </w:style>
  <w:style w:type="paragraph" w:styleId="Default" w:customStyle="1">
    <w:name w:val="Default"/>
    <w:qFormat/>
    <w:pPr>
      <w:widowControl/>
      <w:pBdr/>
      <w:bidi w:val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ru-RU" w:eastAsia="zh-CN" w:bidi="ar-SA"/>
    </w:rPr>
  </w:style>
  <w:style w:type="paragraph" w:styleId="Style21" w:customStyle="1">
    <w:name w:val="???????"/>
    <w:qFormat/>
    <w:pPr>
      <w:widowControl w:val="false"/>
      <w:pBdr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Application>LibreOffice/6.2.4.2$Windows_X86_64 LibreOffice_project/2412653d852ce75f65fbfa83fb7e7b669a126d64</Application>
  <Pages>2</Pages>
  <Words>648</Words>
  <Characters>4800</Characters>
  <CharactersWithSpaces>5431</CharactersWithSpaces>
  <Paragraphs>20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2020-04-19T07:31:00Z</dcterms:created>
  <dc:creator>Admin</dc:creator>
  <dc:description/>
  <dc:language>ru-RU</dc:language>
  <cp:lastModifiedBy/>
  <dcterms:modified xsi:type="dcterms:W3CDTF">2020-05-16T21:25:07Z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