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F7B" w:rsidRDefault="00D76F7B" w:rsidP="00D76F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6F7B">
        <w:rPr>
          <w:rFonts w:ascii="Times New Roman" w:eastAsia="Calibri" w:hAnsi="Times New Roman" w:cs="Times New Roman"/>
          <w:b/>
          <w:sz w:val="24"/>
          <w:szCs w:val="24"/>
        </w:rPr>
        <w:t>ФИТОПЕРИФИ</w:t>
      </w:r>
      <w:r w:rsidR="004563EE">
        <w:rPr>
          <w:rFonts w:ascii="Times New Roman" w:eastAsia="Calibri" w:hAnsi="Times New Roman" w:cs="Times New Roman"/>
          <w:b/>
          <w:sz w:val="24"/>
          <w:szCs w:val="24"/>
        </w:rPr>
        <w:t>ТОН НА ИСКУССТВЕННЫХ СУБСТРАТАХ</w:t>
      </w:r>
      <w:r w:rsidRPr="00D76F7B">
        <w:rPr>
          <w:rFonts w:ascii="Times New Roman" w:eastAsia="Calibri" w:hAnsi="Times New Roman" w:cs="Times New Roman"/>
          <w:b/>
          <w:sz w:val="24"/>
          <w:szCs w:val="24"/>
        </w:rPr>
        <w:t xml:space="preserve"> КАК</w:t>
      </w:r>
      <w:r w:rsidR="004563EE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D76F7B">
        <w:rPr>
          <w:rFonts w:ascii="Times New Roman" w:eastAsia="Calibri" w:hAnsi="Times New Roman" w:cs="Times New Roman"/>
          <w:b/>
          <w:sz w:val="24"/>
          <w:szCs w:val="24"/>
        </w:rPr>
        <w:t>ПОКАЗАТЕЛЬ ОЦЕНКИ ЭКОЛОГИЧЕСКОГО СОСТОЯНИЯ ТРЁХ</w:t>
      </w:r>
      <w:r w:rsidR="004563EE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D76F7B">
        <w:rPr>
          <w:rFonts w:ascii="Times New Roman" w:eastAsia="Calibri" w:hAnsi="Times New Roman" w:cs="Times New Roman"/>
          <w:b/>
          <w:sz w:val="24"/>
          <w:szCs w:val="24"/>
        </w:rPr>
        <w:t>ОЗЁР</w:t>
      </w:r>
      <w:r w:rsidR="004563EE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D76F7B">
        <w:rPr>
          <w:rFonts w:ascii="Times New Roman" w:eastAsia="Calibri" w:hAnsi="Times New Roman" w:cs="Times New Roman"/>
          <w:b/>
          <w:sz w:val="24"/>
          <w:szCs w:val="24"/>
        </w:rPr>
        <w:t>ВИТЕБСКОЙ ОБЛАСТИ</w:t>
      </w:r>
    </w:p>
    <w:p w:rsidR="00254FC8" w:rsidRPr="00D76F7B" w:rsidRDefault="00254FC8" w:rsidP="00D76F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6F7B" w:rsidRPr="00D76F7B" w:rsidRDefault="00D76F7B" w:rsidP="00D76F7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D76F7B">
        <w:rPr>
          <w:rFonts w:ascii="Times New Roman" w:eastAsia="Calibri" w:hAnsi="Times New Roman" w:cs="Times New Roman"/>
          <w:sz w:val="24"/>
          <w:szCs w:val="24"/>
        </w:rPr>
        <w:t>Шибанов Г. А.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D76F7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76F7B">
        <w:rPr>
          <w:rFonts w:ascii="Times New Roman" w:eastAsia="Calibri" w:hAnsi="Times New Roman" w:cs="Times New Roman"/>
          <w:sz w:val="24"/>
          <w:szCs w:val="24"/>
          <w:u w:val="single"/>
        </w:rPr>
        <w:t>Корбан Е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r w:rsidRPr="00D76F7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А</w:t>
      </w:r>
      <w:r w:rsidRPr="00D76F7B">
        <w:rPr>
          <w:rFonts w:ascii="Times New Roman" w:eastAsia="Calibri" w:hAnsi="Times New Roman" w:cs="Times New Roman"/>
          <w:sz w:val="24"/>
          <w:szCs w:val="24"/>
        </w:rPr>
        <w:t>.</w:t>
      </w:r>
      <w:r w:rsidRPr="00D76F7B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</w:p>
    <w:p w:rsidR="00FA2FBC" w:rsidRPr="00254FC8" w:rsidRDefault="00FA2FBC" w:rsidP="00FA2FB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254FC8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1</w:t>
      </w:r>
      <w:r w:rsidR="00D76F7B" w:rsidRPr="00254FC8">
        <w:rPr>
          <w:rFonts w:ascii="Times New Roman" w:eastAsia="Calibri" w:hAnsi="Times New Roman" w:cs="Times New Roman"/>
          <w:i/>
          <w:sz w:val="24"/>
          <w:szCs w:val="24"/>
        </w:rPr>
        <w:t>ГУО "Гимназия №1 г. Витебска имени Ж.И.Алфёрова"</w:t>
      </w:r>
    </w:p>
    <w:p w:rsidR="00FA2FBC" w:rsidRDefault="00FA2FBC" w:rsidP="00FA2FB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254FC8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2</w:t>
      </w:r>
      <w:r w:rsidRPr="00254FC8">
        <w:rPr>
          <w:rFonts w:ascii="Times New Roman" w:eastAsia="Calibri" w:hAnsi="Times New Roman" w:cs="Times New Roman"/>
          <w:i/>
          <w:sz w:val="24"/>
          <w:szCs w:val="24"/>
        </w:rPr>
        <w:t>ГУДО «Витебский областной дворец детей и молодежи»</w:t>
      </w:r>
    </w:p>
    <w:p w:rsidR="00254FC8" w:rsidRPr="00254FC8" w:rsidRDefault="00254FC8" w:rsidP="00FA2FB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D76F7B" w:rsidRPr="00D76F7B" w:rsidRDefault="00D76F7B" w:rsidP="001865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F7B">
        <w:rPr>
          <w:rFonts w:ascii="Times New Roman" w:eastAsia="Calibri" w:hAnsi="Times New Roman" w:cs="Times New Roman"/>
          <w:sz w:val="24"/>
          <w:szCs w:val="24"/>
        </w:rPr>
        <w:t>В 2020 году мы обследовали три водоема Витебской области методами анализа фитоперифитона на искусственных субстратах. Данная группа методов предполагает изучение организмов обрастания, которые являются в</w:t>
      </w:r>
      <w:r w:rsidR="004563EE">
        <w:rPr>
          <w:rFonts w:ascii="Times New Roman" w:eastAsia="Calibri" w:hAnsi="Times New Roman" w:cs="Times New Roman"/>
          <w:sz w:val="24"/>
          <w:szCs w:val="24"/>
        </w:rPr>
        <w:t>есьма показательной группой для </w:t>
      </w:r>
      <w:r w:rsidRPr="00D76F7B">
        <w:rPr>
          <w:rFonts w:ascii="Times New Roman" w:eastAsia="Calibri" w:hAnsi="Times New Roman" w:cs="Times New Roman"/>
          <w:sz w:val="24"/>
          <w:szCs w:val="24"/>
        </w:rPr>
        <w:t>анализа экологического состояния вод. Для обследования были выбраны три водоёма в различной степени подверженные влиянию человека. Это озера Серокоротня, Ходцы и Сорро</w:t>
      </w:r>
      <w:r w:rsidR="002A65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65C0" w:rsidRPr="00D76F7B">
        <w:rPr>
          <w:rFonts w:ascii="Times New Roman" w:eastAsia="Calibri" w:hAnsi="Times New Roman" w:cs="Times New Roman"/>
          <w:sz w:val="24"/>
          <w:szCs w:val="24"/>
        </w:rPr>
        <w:t>[1]</w:t>
      </w:r>
      <w:r w:rsidRPr="00D76F7B">
        <w:rPr>
          <w:rFonts w:ascii="Times New Roman" w:eastAsia="Calibri" w:hAnsi="Times New Roman" w:cs="Times New Roman"/>
          <w:sz w:val="24"/>
          <w:szCs w:val="24"/>
        </w:rPr>
        <w:t>. По берегам озер расположены населенные пункты, все три озера подвергаются промысловой нагрузке (используются для</w:t>
      </w:r>
      <w:r w:rsidR="004563EE">
        <w:rPr>
          <w:rFonts w:ascii="Times New Roman" w:eastAsia="Calibri" w:hAnsi="Times New Roman" w:cs="Times New Roman"/>
          <w:sz w:val="24"/>
          <w:szCs w:val="24"/>
        </w:rPr>
        <w:t xml:space="preserve"> добычи рыбных ресурсов), а так</w:t>
      </w:r>
      <w:r w:rsidRPr="00D76F7B">
        <w:rPr>
          <w:rFonts w:ascii="Times New Roman" w:eastAsia="Calibri" w:hAnsi="Times New Roman" w:cs="Times New Roman"/>
          <w:sz w:val="24"/>
          <w:szCs w:val="24"/>
        </w:rPr>
        <w:t>же эти озера используются населением в качестве туристических объектов.</w:t>
      </w:r>
    </w:p>
    <w:p w:rsidR="00D76F7B" w:rsidRPr="00D76F7B" w:rsidRDefault="00D76F7B" w:rsidP="004563E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F7B">
        <w:rPr>
          <w:rFonts w:ascii="Times New Roman" w:eastAsia="Calibri" w:hAnsi="Times New Roman" w:cs="Times New Roman"/>
          <w:sz w:val="24"/>
          <w:szCs w:val="24"/>
        </w:rPr>
        <w:t xml:space="preserve">Мы поставили перед собой </w:t>
      </w:r>
      <w:r w:rsidRPr="00DE6E09">
        <w:rPr>
          <w:rFonts w:ascii="Times New Roman" w:eastAsia="Calibri" w:hAnsi="Times New Roman" w:cs="Times New Roman"/>
          <w:sz w:val="24"/>
          <w:szCs w:val="24"/>
        </w:rPr>
        <w:t>цель:</w:t>
      </w:r>
      <w:r w:rsidRPr="00D76F7B">
        <w:rPr>
          <w:rFonts w:ascii="Times New Roman" w:eastAsia="Calibri" w:hAnsi="Times New Roman" w:cs="Times New Roman"/>
          <w:sz w:val="24"/>
          <w:szCs w:val="24"/>
        </w:rPr>
        <w:t xml:space="preserve"> на основании данных обследования фитоперифитона на искусственных субстратах оценить степень подверженности трех водоемов влиянию антропогенных факторов.</w:t>
      </w:r>
    </w:p>
    <w:p w:rsidR="00D76F7B" w:rsidRDefault="00D76F7B" w:rsidP="004563E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F7B">
        <w:rPr>
          <w:rFonts w:ascii="Times New Roman" w:eastAsia="Calibri" w:hAnsi="Times New Roman" w:cs="Times New Roman"/>
          <w:sz w:val="24"/>
          <w:szCs w:val="24"/>
        </w:rPr>
        <w:t xml:space="preserve">В рамках выполнения работы были установлены </w:t>
      </w:r>
      <w:r w:rsidRPr="00DE6E09">
        <w:rPr>
          <w:rFonts w:ascii="Times New Roman" w:eastAsia="Calibri" w:hAnsi="Times New Roman" w:cs="Times New Roman"/>
          <w:sz w:val="24"/>
          <w:szCs w:val="24"/>
        </w:rPr>
        <w:t>задачи:</w:t>
      </w:r>
      <w:r w:rsidRPr="00D76F7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76F7B" w:rsidRPr="00D76F7B" w:rsidRDefault="00D76F7B" w:rsidP="004563EE">
      <w:pPr>
        <w:numPr>
          <w:ilvl w:val="0"/>
          <w:numId w:val="1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F7B">
        <w:rPr>
          <w:rFonts w:ascii="Times New Roman" w:eastAsia="Calibri" w:hAnsi="Times New Roman" w:cs="Times New Roman"/>
          <w:sz w:val="24"/>
          <w:szCs w:val="24"/>
        </w:rPr>
        <w:t>Выявить методами микроскопии органи</w:t>
      </w:r>
      <w:r w:rsidR="004563EE">
        <w:rPr>
          <w:rFonts w:ascii="Times New Roman" w:eastAsia="Calibri" w:hAnsi="Times New Roman" w:cs="Times New Roman"/>
          <w:sz w:val="24"/>
          <w:szCs w:val="24"/>
        </w:rPr>
        <w:t>змы индикаторы в соответствии с </w:t>
      </w:r>
      <w:r w:rsidRPr="00D76F7B">
        <w:rPr>
          <w:rFonts w:ascii="Times New Roman" w:eastAsia="Calibri" w:hAnsi="Times New Roman" w:cs="Times New Roman"/>
          <w:sz w:val="24"/>
          <w:szCs w:val="24"/>
        </w:rPr>
        <w:t xml:space="preserve">методом </w:t>
      </w:r>
      <w:proofErr w:type="spellStart"/>
      <w:r w:rsidRPr="00D76F7B">
        <w:rPr>
          <w:rFonts w:ascii="Times New Roman" w:eastAsia="Calibri" w:hAnsi="Times New Roman" w:cs="Times New Roman"/>
          <w:sz w:val="24"/>
          <w:szCs w:val="24"/>
        </w:rPr>
        <w:t>Пантле</w:t>
      </w:r>
      <w:proofErr w:type="spellEnd"/>
      <w:r w:rsidRPr="00D76F7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D76F7B">
        <w:rPr>
          <w:rFonts w:ascii="Times New Roman" w:eastAsia="Calibri" w:hAnsi="Times New Roman" w:cs="Times New Roman"/>
          <w:sz w:val="24"/>
          <w:szCs w:val="24"/>
        </w:rPr>
        <w:t>Букка</w:t>
      </w:r>
      <w:proofErr w:type="spellEnd"/>
      <w:r w:rsidRPr="00D76F7B">
        <w:rPr>
          <w:rFonts w:ascii="Times New Roman" w:eastAsia="Calibri" w:hAnsi="Times New Roman" w:cs="Times New Roman"/>
          <w:sz w:val="24"/>
          <w:szCs w:val="24"/>
        </w:rPr>
        <w:t xml:space="preserve"> в модификации С</w:t>
      </w:r>
      <w:r w:rsidR="004563EE">
        <w:rPr>
          <w:rFonts w:ascii="Times New Roman" w:eastAsia="Calibri" w:hAnsi="Times New Roman" w:cs="Times New Roman"/>
          <w:sz w:val="24"/>
          <w:szCs w:val="24"/>
        </w:rPr>
        <w:t>ладечека в пробах перифитона из </w:t>
      </w:r>
      <w:r w:rsidRPr="00D76F7B">
        <w:rPr>
          <w:rFonts w:ascii="Times New Roman" w:eastAsia="Calibri" w:hAnsi="Times New Roman" w:cs="Times New Roman"/>
          <w:sz w:val="24"/>
          <w:szCs w:val="24"/>
        </w:rPr>
        <w:t>обследованных озёр</w:t>
      </w:r>
      <w:r w:rsidR="004563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76F7B" w:rsidRPr="00D76F7B" w:rsidRDefault="00D76F7B" w:rsidP="004563EE">
      <w:pPr>
        <w:numPr>
          <w:ilvl w:val="0"/>
          <w:numId w:val="1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F7B">
        <w:rPr>
          <w:rFonts w:ascii="Times New Roman" w:eastAsia="Calibri" w:hAnsi="Times New Roman" w:cs="Times New Roman"/>
          <w:sz w:val="24"/>
          <w:szCs w:val="24"/>
        </w:rPr>
        <w:t xml:space="preserve">Определить </w:t>
      </w:r>
      <w:proofErr w:type="spellStart"/>
      <w:r w:rsidRPr="00D76F7B">
        <w:rPr>
          <w:rFonts w:ascii="Times New Roman" w:eastAsia="Calibri" w:hAnsi="Times New Roman" w:cs="Times New Roman"/>
          <w:sz w:val="24"/>
          <w:szCs w:val="24"/>
        </w:rPr>
        <w:t>сапробность</w:t>
      </w:r>
      <w:proofErr w:type="spellEnd"/>
      <w:r w:rsidRPr="00D76F7B">
        <w:rPr>
          <w:rFonts w:ascii="Times New Roman" w:eastAsia="Calibri" w:hAnsi="Times New Roman" w:cs="Times New Roman"/>
          <w:sz w:val="24"/>
          <w:szCs w:val="24"/>
        </w:rPr>
        <w:t xml:space="preserve"> обследованных озер согласно используемой методике исследования</w:t>
      </w:r>
      <w:r w:rsidR="004563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76F7B" w:rsidRPr="00D76F7B" w:rsidRDefault="00D76F7B" w:rsidP="004563EE">
      <w:pPr>
        <w:numPr>
          <w:ilvl w:val="0"/>
          <w:numId w:val="1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F7B">
        <w:rPr>
          <w:rFonts w:ascii="Times New Roman" w:eastAsia="Calibri" w:hAnsi="Times New Roman" w:cs="Times New Roman"/>
          <w:sz w:val="24"/>
          <w:szCs w:val="24"/>
        </w:rPr>
        <w:t xml:space="preserve">Дать оценку экологического состояния озер </w:t>
      </w:r>
      <w:proofErr w:type="spellStart"/>
      <w:r w:rsidRPr="00D76F7B">
        <w:rPr>
          <w:rFonts w:ascii="Times New Roman" w:eastAsia="Calibri" w:hAnsi="Times New Roman" w:cs="Times New Roman"/>
          <w:sz w:val="24"/>
          <w:szCs w:val="24"/>
        </w:rPr>
        <w:t>Ходцы</w:t>
      </w:r>
      <w:proofErr w:type="spellEnd"/>
      <w:r w:rsidRPr="00D76F7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76F7B">
        <w:rPr>
          <w:rFonts w:ascii="Times New Roman" w:eastAsia="Calibri" w:hAnsi="Times New Roman" w:cs="Times New Roman"/>
          <w:sz w:val="24"/>
          <w:szCs w:val="24"/>
        </w:rPr>
        <w:t>Сорро</w:t>
      </w:r>
      <w:proofErr w:type="spellEnd"/>
      <w:r w:rsidRPr="00D76F7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D76F7B">
        <w:rPr>
          <w:rFonts w:ascii="Times New Roman" w:eastAsia="Calibri" w:hAnsi="Times New Roman" w:cs="Times New Roman"/>
          <w:sz w:val="24"/>
          <w:szCs w:val="24"/>
        </w:rPr>
        <w:t>Серокоротня</w:t>
      </w:r>
      <w:proofErr w:type="spellEnd"/>
      <w:r w:rsidR="004563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76F7B" w:rsidRPr="00D76F7B" w:rsidRDefault="00D76F7B" w:rsidP="004563E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F7B">
        <w:rPr>
          <w:rFonts w:ascii="Times New Roman" w:eastAsia="Calibri" w:hAnsi="Times New Roman" w:cs="Times New Roman"/>
          <w:sz w:val="24"/>
          <w:szCs w:val="24"/>
        </w:rPr>
        <w:t>В летний период 2020 года мы организовали экскурсии на выбранные заранее озера. В каждом озере были установлены по три уста</w:t>
      </w:r>
      <w:r w:rsidR="004563EE">
        <w:rPr>
          <w:rFonts w:ascii="Times New Roman" w:eastAsia="Calibri" w:hAnsi="Times New Roman" w:cs="Times New Roman"/>
          <w:sz w:val="24"/>
          <w:szCs w:val="24"/>
        </w:rPr>
        <w:t>новки со стеклами на глубине 15</w:t>
      </w:r>
      <w:r w:rsidR="004563EE">
        <w:rPr>
          <w:rFonts w:ascii="Times New Roman" w:eastAsia="Calibri" w:hAnsi="Times New Roman" w:cs="Times New Roman"/>
          <w:sz w:val="24"/>
          <w:szCs w:val="24"/>
        </w:rPr>
        <w:noBreakHyphen/>
      </w:r>
      <w:r w:rsidRPr="00D76F7B">
        <w:rPr>
          <w:rFonts w:ascii="Times New Roman" w:eastAsia="Calibri" w:hAnsi="Times New Roman" w:cs="Times New Roman"/>
          <w:sz w:val="24"/>
          <w:szCs w:val="24"/>
        </w:rPr>
        <w:t xml:space="preserve">20 см [3]. Стекла экспонировались в течение десяти суток. Затем мы просматривали пробы при помощи светового микроскопа. Выявляли организмы-индикаторы чистоты вод (по </w:t>
      </w:r>
      <w:proofErr w:type="spellStart"/>
      <w:r w:rsidRPr="00D76F7B">
        <w:rPr>
          <w:rFonts w:ascii="Times New Roman" w:eastAsia="Calibri" w:hAnsi="Times New Roman" w:cs="Times New Roman"/>
          <w:sz w:val="24"/>
          <w:szCs w:val="24"/>
        </w:rPr>
        <w:t>Пантле</w:t>
      </w:r>
      <w:proofErr w:type="spellEnd"/>
      <w:r w:rsidRPr="00D76F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6F7B">
        <w:rPr>
          <w:rFonts w:ascii="Times New Roman" w:eastAsia="Calibri" w:hAnsi="Times New Roman" w:cs="Times New Roman"/>
          <w:sz w:val="24"/>
          <w:szCs w:val="24"/>
        </w:rPr>
        <w:t>Букку</w:t>
      </w:r>
      <w:proofErr w:type="spellEnd"/>
      <w:r w:rsidRPr="00D76F7B">
        <w:rPr>
          <w:rFonts w:ascii="Times New Roman" w:eastAsia="Calibri" w:hAnsi="Times New Roman" w:cs="Times New Roman"/>
          <w:sz w:val="24"/>
          <w:szCs w:val="24"/>
        </w:rPr>
        <w:t>)</w:t>
      </w:r>
      <w:r w:rsidR="00FA2FBC" w:rsidRPr="00254FC8">
        <w:rPr>
          <w:rFonts w:ascii="Times New Roman" w:eastAsia="Calibri" w:hAnsi="Times New Roman" w:cs="Times New Roman"/>
          <w:sz w:val="24"/>
          <w:szCs w:val="24"/>
        </w:rPr>
        <w:t xml:space="preserve"> [3]</w:t>
      </w:r>
      <w:r w:rsidR="00FA2FBC" w:rsidRPr="00D76F7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76F7B" w:rsidRPr="00D76F7B" w:rsidRDefault="00D76F7B" w:rsidP="004563EE">
      <w:pPr>
        <w:spacing w:after="12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76F7B">
        <w:rPr>
          <w:rFonts w:ascii="Times New Roman" w:eastAsia="Calibri" w:hAnsi="Times New Roman" w:cs="Times New Roman"/>
          <w:sz w:val="24"/>
          <w:szCs w:val="24"/>
        </w:rPr>
        <w:t>Сапробность</w:t>
      </w:r>
      <w:proofErr w:type="spellEnd"/>
      <w:r w:rsidRPr="00D76F7B">
        <w:rPr>
          <w:rFonts w:ascii="Times New Roman" w:eastAsia="Calibri" w:hAnsi="Times New Roman" w:cs="Times New Roman"/>
          <w:sz w:val="24"/>
          <w:szCs w:val="24"/>
        </w:rPr>
        <w:t xml:space="preserve"> водоемов определяли в соответствии с формулой Пантле Букка: </w:t>
      </w:r>
      <m:oMath>
        <m:sSub>
          <m:sSubPr>
            <m:ctrlPr>
              <w:rPr>
                <w:rFonts w:ascii="Cambria Math" w:eastAsia="Calibri" w:hAnsi="Times New Roman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Times New Roman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="Calibri" w:hAnsi="Times New Roman" w:cs="Times New Roman"/>
                <w:sz w:val="24"/>
                <w:szCs w:val="24"/>
              </w:rPr>
              <m:t>ind</m:t>
            </m:r>
          </m:sub>
        </m:sSub>
        <m:r>
          <m:rPr>
            <m:sty m:val="p"/>
          </m:rPr>
          <w:rPr>
            <w:rFonts w:ascii="Cambria Math" w:eastAsia="Calibri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Calibri" w:hAnsi="Times New Roman" w:cs="Times New Roman"/>
                <w:sz w:val="24"/>
                <w:szCs w:val="24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="Calibri" w:hAnsi="Times New Roman" w:cs="Times New Roman"/>
                    <w:sz w:val="24"/>
                    <w:szCs w:val="24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eastAsia="Calibri" w:hAnsi="Times New Roman" w:cs="Times New Roman"/>
                    <w:sz w:val="24"/>
                    <w:szCs w:val="24"/>
                  </w:rPr>
                  <m:t>(sh)</m:t>
                </m:r>
              </m:e>
            </m:nary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="Calibri" w:hAnsi="Times New Roman" w:cs="Times New Roman"/>
                    <w:sz w:val="24"/>
                    <w:szCs w:val="24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eastAsia="Calibri" w:hAnsi="Times New Roman" w:cs="Times New Roman"/>
                    <w:sz w:val="24"/>
                    <w:szCs w:val="24"/>
                  </w:rPr>
                  <m:t>h</m:t>
                </m:r>
              </m:e>
            </m:nary>
          </m:den>
        </m:f>
      </m:oMath>
      <w:r w:rsidRPr="00D76F7B">
        <w:rPr>
          <w:rFonts w:ascii="Times New Roman" w:eastAsia="Calibri" w:hAnsi="Times New Roman" w:cs="Times New Roman"/>
          <w:sz w:val="24"/>
          <w:szCs w:val="24"/>
        </w:rPr>
        <w:t xml:space="preserve">, где s – сапробность каждого индикаторного вида в пробе, h – обилие этого вида – в баллах от 1 до 5 (случайные находки – 1, частая встречаемость 3, массовое развитие – 5).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57"/>
        <w:gridCol w:w="2072"/>
        <w:gridCol w:w="1559"/>
        <w:gridCol w:w="1701"/>
      </w:tblGrid>
      <w:tr w:rsidR="00D76F7B" w:rsidRPr="00D76F7B" w:rsidTr="004563EE">
        <w:trPr>
          <w:jc w:val="center"/>
        </w:trPr>
        <w:tc>
          <w:tcPr>
            <w:tcW w:w="2457" w:type="dxa"/>
          </w:tcPr>
          <w:p w:rsidR="00D76F7B" w:rsidRPr="00D76F7B" w:rsidRDefault="00D76F7B" w:rsidP="0018652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F7B">
              <w:rPr>
                <w:rFonts w:ascii="Times New Roman" w:eastAsia="Calibri" w:hAnsi="Times New Roman" w:cs="Times New Roman"/>
                <w:sz w:val="24"/>
                <w:szCs w:val="24"/>
              </w:rPr>
              <w:t>Озеро</w:t>
            </w:r>
          </w:p>
        </w:tc>
        <w:tc>
          <w:tcPr>
            <w:tcW w:w="2072" w:type="dxa"/>
            <w:vAlign w:val="center"/>
          </w:tcPr>
          <w:p w:rsidR="00D76F7B" w:rsidRPr="00D76F7B" w:rsidRDefault="00D76F7B" w:rsidP="0018652A">
            <w:pPr>
              <w:ind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F7B">
              <w:rPr>
                <w:rFonts w:ascii="Times New Roman" w:eastAsia="Calibri" w:hAnsi="Times New Roman" w:cs="Times New Roman"/>
                <w:sz w:val="24"/>
                <w:szCs w:val="24"/>
              </w:rPr>
              <w:t>Серокоротня</w:t>
            </w:r>
          </w:p>
        </w:tc>
        <w:tc>
          <w:tcPr>
            <w:tcW w:w="1559" w:type="dxa"/>
            <w:vAlign w:val="center"/>
          </w:tcPr>
          <w:p w:rsidR="00D76F7B" w:rsidRPr="00D76F7B" w:rsidRDefault="00D76F7B" w:rsidP="0018652A">
            <w:pPr>
              <w:ind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F7B">
              <w:rPr>
                <w:rFonts w:ascii="Times New Roman" w:eastAsia="Calibri" w:hAnsi="Times New Roman" w:cs="Times New Roman"/>
                <w:sz w:val="24"/>
                <w:szCs w:val="24"/>
              </w:rPr>
              <w:t>Ходцы</w:t>
            </w:r>
          </w:p>
        </w:tc>
        <w:tc>
          <w:tcPr>
            <w:tcW w:w="1701" w:type="dxa"/>
            <w:vAlign w:val="center"/>
          </w:tcPr>
          <w:p w:rsidR="00D76F7B" w:rsidRPr="00D76F7B" w:rsidRDefault="00D76F7B" w:rsidP="0018652A">
            <w:pPr>
              <w:ind w:firstLine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F7B">
              <w:rPr>
                <w:rFonts w:ascii="Times New Roman" w:eastAsia="Calibri" w:hAnsi="Times New Roman" w:cs="Times New Roman"/>
                <w:sz w:val="24"/>
                <w:szCs w:val="24"/>
              </w:rPr>
              <w:t>Сорро</w:t>
            </w:r>
          </w:p>
        </w:tc>
      </w:tr>
      <w:tr w:rsidR="00D76F7B" w:rsidRPr="00D76F7B" w:rsidTr="004563EE">
        <w:trPr>
          <w:jc w:val="center"/>
        </w:trPr>
        <w:tc>
          <w:tcPr>
            <w:tcW w:w="2457" w:type="dxa"/>
          </w:tcPr>
          <w:p w:rsidR="00D76F7B" w:rsidRPr="00D76F7B" w:rsidRDefault="00D76F7B" w:rsidP="0018652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F7B">
              <w:rPr>
                <w:rFonts w:ascii="Times New Roman" w:eastAsia="Calibri" w:hAnsi="Times New Roman" w:cs="Times New Roman"/>
                <w:sz w:val="24"/>
                <w:szCs w:val="24"/>
              </w:rPr>
              <w:t>Сапробность S:</w:t>
            </w:r>
          </w:p>
        </w:tc>
        <w:tc>
          <w:tcPr>
            <w:tcW w:w="2072" w:type="dxa"/>
            <w:vAlign w:val="center"/>
          </w:tcPr>
          <w:p w:rsidR="00D76F7B" w:rsidRPr="00D76F7B" w:rsidRDefault="00D76F7B" w:rsidP="0018652A">
            <w:pPr>
              <w:ind w:firstLine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F7B">
              <w:rPr>
                <w:rFonts w:ascii="Times New Roman" w:eastAsia="Calibri" w:hAnsi="Times New Roman" w:cs="Times New Roman"/>
                <w:sz w:val="24"/>
                <w:szCs w:val="24"/>
              </w:rPr>
              <w:t>1,87</w:t>
            </w:r>
          </w:p>
        </w:tc>
        <w:tc>
          <w:tcPr>
            <w:tcW w:w="1559" w:type="dxa"/>
            <w:vAlign w:val="center"/>
          </w:tcPr>
          <w:p w:rsidR="00D76F7B" w:rsidRPr="00D76F7B" w:rsidRDefault="00D76F7B" w:rsidP="0018652A">
            <w:pPr>
              <w:ind w:firstLine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F7B">
              <w:rPr>
                <w:rFonts w:ascii="Times New Roman" w:eastAsia="Calibri" w:hAnsi="Times New Roman" w:cs="Times New Roman"/>
                <w:sz w:val="24"/>
                <w:szCs w:val="24"/>
              </w:rPr>
              <w:t>1,48</w:t>
            </w:r>
          </w:p>
        </w:tc>
        <w:tc>
          <w:tcPr>
            <w:tcW w:w="1701" w:type="dxa"/>
            <w:vAlign w:val="center"/>
          </w:tcPr>
          <w:p w:rsidR="00D76F7B" w:rsidRPr="00D76F7B" w:rsidRDefault="00D76F7B" w:rsidP="0018652A">
            <w:pPr>
              <w:ind w:firstLine="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F7B">
              <w:rPr>
                <w:rFonts w:ascii="Times New Roman" w:eastAsia="Calibri" w:hAnsi="Times New Roman" w:cs="Times New Roman"/>
                <w:sz w:val="24"/>
                <w:szCs w:val="24"/>
              </w:rPr>
              <w:t>1,35</w:t>
            </w:r>
          </w:p>
        </w:tc>
      </w:tr>
    </w:tbl>
    <w:p w:rsidR="00D76F7B" w:rsidRPr="00D76F7B" w:rsidRDefault="00D76F7B" w:rsidP="004563EE">
      <w:pPr>
        <w:spacing w:before="120"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F7B">
        <w:rPr>
          <w:rFonts w:ascii="Times New Roman" w:eastAsia="Calibri" w:hAnsi="Times New Roman" w:cs="Times New Roman"/>
          <w:sz w:val="24"/>
          <w:szCs w:val="24"/>
        </w:rPr>
        <w:t>Выявили, что наиболее чистое и слабо подверженн</w:t>
      </w:r>
      <w:r w:rsidR="004563EE">
        <w:rPr>
          <w:rFonts w:ascii="Times New Roman" w:eastAsia="Calibri" w:hAnsi="Times New Roman" w:cs="Times New Roman"/>
          <w:sz w:val="24"/>
          <w:szCs w:val="24"/>
        </w:rPr>
        <w:t>ое антропогенной нагрузке – оз. </w:t>
      </w:r>
      <w:proofErr w:type="spellStart"/>
      <w:r w:rsidRPr="00D76F7B">
        <w:rPr>
          <w:rFonts w:ascii="Times New Roman" w:eastAsia="Calibri" w:hAnsi="Times New Roman" w:cs="Times New Roman"/>
          <w:sz w:val="24"/>
          <w:szCs w:val="24"/>
        </w:rPr>
        <w:t>Сорро</w:t>
      </w:r>
      <w:proofErr w:type="spellEnd"/>
      <w:r w:rsidRPr="00D76F7B">
        <w:rPr>
          <w:rFonts w:ascii="Times New Roman" w:eastAsia="Calibri" w:hAnsi="Times New Roman" w:cs="Times New Roman"/>
          <w:sz w:val="24"/>
          <w:szCs w:val="24"/>
        </w:rPr>
        <w:t xml:space="preserve">. Нагрузку средней степени испытывает оз. Ходцы. И наибольшей степени нагрузку испытывает оз. </w:t>
      </w:r>
      <w:proofErr w:type="spellStart"/>
      <w:r w:rsidRPr="00D76F7B">
        <w:rPr>
          <w:rFonts w:ascii="Times New Roman" w:eastAsia="Calibri" w:hAnsi="Times New Roman" w:cs="Times New Roman"/>
          <w:sz w:val="24"/>
          <w:szCs w:val="24"/>
        </w:rPr>
        <w:t>Серокоротня</w:t>
      </w:r>
      <w:proofErr w:type="spellEnd"/>
      <w:r w:rsidRPr="00254FC8">
        <w:rPr>
          <w:rFonts w:ascii="Times New Roman" w:eastAsia="Calibri" w:hAnsi="Times New Roman" w:cs="Times New Roman"/>
          <w:sz w:val="24"/>
          <w:szCs w:val="24"/>
        </w:rPr>
        <w:t xml:space="preserve"> [2,3]</w:t>
      </w:r>
      <w:r w:rsidRPr="00D76F7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76F7B" w:rsidRPr="004563EE" w:rsidRDefault="00D76F7B" w:rsidP="004563EE">
      <w:pPr>
        <w:spacing w:after="0"/>
        <w:ind w:firstLine="426"/>
        <w:jc w:val="both"/>
        <w:rPr>
          <w:rFonts w:ascii="Times New Roman" w:eastAsia="Calibri" w:hAnsi="Times New Roman" w:cs="Times New Roman"/>
          <w:i/>
          <w:spacing w:val="-2"/>
          <w:sz w:val="24"/>
          <w:szCs w:val="24"/>
        </w:rPr>
      </w:pPr>
      <w:r w:rsidRPr="004563EE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В пробах часто встречаемые виды: </w:t>
      </w:r>
      <w:proofErr w:type="spellStart"/>
      <w:r w:rsidRPr="004563EE">
        <w:rPr>
          <w:rFonts w:ascii="Times New Roman" w:eastAsia="Calibri" w:hAnsi="Times New Roman" w:cs="Times New Roman"/>
          <w:i/>
          <w:spacing w:val="-2"/>
          <w:sz w:val="24"/>
          <w:szCs w:val="24"/>
        </w:rPr>
        <w:t>Closterium</w:t>
      </w:r>
      <w:proofErr w:type="spellEnd"/>
      <w:r w:rsidRPr="004563EE">
        <w:rPr>
          <w:rFonts w:ascii="Times New Roman" w:eastAsia="Calibri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4563EE">
        <w:rPr>
          <w:rFonts w:ascii="Times New Roman" w:eastAsia="Calibri" w:hAnsi="Times New Roman" w:cs="Times New Roman"/>
          <w:i/>
          <w:spacing w:val="-2"/>
          <w:sz w:val="24"/>
          <w:szCs w:val="24"/>
        </w:rPr>
        <w:t>acutum</w:t>
      </w:r>
      <w:proofErr w:type="spellEnd"/>
      <w:r w:rsidRPr="004563EE">
        <w:rPr>
          <w:rFonts w:ascii="Times New Roman" w:eastAsia="Calibri" w:hAnsi="Times New Roman" w:cs="Times New Roman"/>
          <w:i/>
          <w:spacing w:val="-2"/>
          <w:sz w:val="24"/>
          <w:szCs w:val="24"/>
        </w:rPr>
        <w:t xml:space="preserve">, </w:t>
      </w:r>
      <w:proofErr w:type="spellStart"/>
      <w:r w:rsidRPr="004563EE">
        <w:rPr>
          <w:rFonts w:ascii="Times New Roman" w:eastAsia="Calibri" w:hAnsi="Times New Roman" w:cs="Times New Roman"/>
          <w:i/>
          <w:spacing w:val="-2"/>
          <w:sz w:val="24"/>
          <w:szCs w:val="24"/>
        </w:rPr>
        <w:t>Cyanobacteria</w:t>
      </w:r>
      <w:proofErr w:type="spellEnd"/>
      <w:r w:rsidRPr="004563EE">
        <w:rPr>
          <w:rFonts w:ascii="Times New Roman" w:eastAsia="Calibri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4563EE">
        <w:rPr>
          <w:rFonts w:ascii="Times New Roman" w:eastAsia="Calibri" w:hAnsi="Times New Roman" w:cs="Times New Roman"/>
          <w:i/>
          <w:spacing w:val="-2"/>
          <w:sz w:val="24"/>
          <w:szCs w:val="24"/>
        </w:rPr>
        <w:t>Gomphosphaeria</w:t>
      </w:r>
      <w:proofErr w:type="spellEnd"/>
      <w:r w:rsidRPr="004563EE">
        <w:rPr>
          <w:rFonts w:ascii="Times New Roman" w:eastAsia="Calibri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4563EE">
        <w:rPr>
          <w:rFonts w:ascii="Times New Roman" w:eastAsia="Calibri" w:hAnsi="Times New Roman" w:cs="Times New Roman"/>
          <w:i/>
          <w:spacing w:val="-2"/>
          <w:sz w:val="24"/>
          <w:szCs w:val="24"/>
        </w:rPr>
        <w:t>lacustris</w:t>
      </w:r>
      <w:proofErr w:type="spellEnd"/>
      <w:r w:rsidRPr="004563EE">
        <w:rPr>
          <w:rFonts w:ascii="Times New Roman" w:eastAsia="Calibri" w:hAnsi="Times New Roman" w:cs="Times New Roman"/>
          <w:i/>
          <w:spacing w:val="-2"/>
          <w:sz w:val="24"/>
          <w:szCs w:val="24"/>
        </w:rPr>
        <w:t xml:space="preserve">, </w:t>
      </w:r>
      <w:proofErr w:type="spellStart"/>
      <w:r w:rsidRPr="004563EE">
        <w:rPr>
          <w:rFonts w:ascii="Times New Roman" w:eastAsia="Calibri" w:hAnsi="Times New Roman" w:cs="Times New Roman"/>
          <w:i/>
          <w:spacing w:val="-2"/>
          <w:sz w:val="24"/>
          <w:szCs w:val="24"/>
        </w:rPr>
        <w:t>Closterium</w:t>
      </w:r>
      <w:proofErr w:type="spellEnd"/>
      <w:r w:rsidRPr="004563EE">
        <w:rPr>
          <w:rFonts w:ascii="Times New Roman" w:eastAsia="Calibri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4563EE">
        <w:rPr>
          <w:rFonts w:ascii="Times New Roman" w:eastAsia="Calibri" w:hAnsi="Times New Roman" w:cs="Times New Roman"/>
          <w:i/>
          <w:spacing w:val="-2"/>
          <w:sz w:val="24"/>
          <w:szCs w:val="24"/>
        </w:rPr>
        <w:t>lunula</w:t>
      </w:r>
      <w:proofErr w:type="spellEnd"/>
      <w:r w:rsidRPr="004563EE">
        <w:rPr>
          <w:rFonts w:ascii="Times New Roman" w:eastAsia="Calibri" w:hAnsi="Times New Roman" w:cs="Times New Roman"/>
          <w:i/>
          <w:spacing w:val="-2"/>
          <w:sz w:val="24"/>
          <w:szCs w:val="24"/>
        </w:rPr>
        <w:t xml:space="preserve">, </w:t>
      </w:r>
      <w:proofErr w:type="spellStart"/>
      <w:r w:rsidRPr="004563EE">
        <w:rPr>
          <w:rFonts w:ascii="Times New Roman" w:eastAsia="Calibri" w:hAnsi="Times New Roman" w:cs="Times New Roman"/>
          <w:i/>
          <w:spacing w:val="-2"/>
          <w:sz w:val="24"/>
          <w:szCs w:val="24"/>
        </w:rPr>
        <w:t>Synedra</w:t>
      </w:r>
      <w:proofErr w:type="spellEnd"/>
      <w:r w:rsidRPr="004563EE">
        <w:rPr>
          <w:rFonts w:ascii="Times New Roman" w:eastAsia="Calibri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4563EE">
        <w:rPr>
          <w:rFonts w:ascii="Times New Roman" w:eastAsia="Calibri" w:hAnsi="Times New Roman" w:cs="Times New Roman"/>
          <w:i/>
          <w:spacing w:val="-2"/>
          <w:sz w:val="24"/>
          <w:szCs w:val="24"/>
        </w:rPr>
        <w:t>acus</w:t>
      </w:r>
      <w:proofErr w:type="spellEnd"/>
      <w:r w:rsidRPr="004563EE">
        <w:rPr>
          <w:rFonts w:ascii="Times New Roman" w:eastAsia="Calibri" w:hAnsi="Times New Roman" w:cs="Times New Roman"/>
          <w:i/>
          <w:spacing w:val="-2"/>
          <w:sz w:val="24"/>
          <w:szCs w:val="24"/>
        </w:rPr>
        <w:t xml:space="preserve">, </w:t>
      </w:r>
      <w:proofErr w:type="spellStart"/>
      <w:r w:rsidRPr="004563EE">
        <w:rPr>
          <w:rFonts w:ascii="Times New Roman" w:eastAsia="Calibri" w:hAnsi="Times New Roman" w:cs="Times New Roman"/>
          <w:i/>
          <w:spacing w:val="-2"/>
          <w:sz w:val="24"/>
          <w:szCs w:val="24"/>
        </w:rPr>
        <w:t>Cymbella</w:t>
      </w:r>
      <w:proofErr w:type="spellEnd"/>
      <w:r w:rsidRPr="004563EE">
        <w:rPr>
          <w:rFonts w:ascii="Times New Roman" w:eastAsia="Calibri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4563EE">
        <w:rPr>
          <w:rFonts w:ascii="Times New Roman" w:eastAsia="Calibri" w:hAnsi="Times New Roman" w:cs="Times New Roman"/>
          <w:i/>
          <w:spacing w:val="-2"/>
          <w:sz w:val="24"/>
          <w:szCs w:val="24"/>
        </w:rPr>
        <w:t>turgida</w:t>
      </w:r>
      <w:proofErr w:type="spellEnd"/>
      <w:r w:rsidRPr="004563EE">
        <w:rPr>
          <w:rFonts w:ascii="Times New Roman" w:eastAsia="Calibri" w:hAnsi="Times New Roman" w:cs="Times New Roman"/>
          <w:i/>
          <w:spacing w:val="-2"/>
          <w:sz w:val="24"/>
          <w:szCs w:val="24"/>
        </w:rPr>
        <w:t xml:space="preserve"> (</w:t>
      </w:r>
      <w:proofErr w:type="spellStart"/>
      <w:r w:rsidRPr="004563EE">
        <w:rPr>
          <w:rFonts w:ascii="Times New Roman" w:eastAsia="Calibri" w:hAnsi="Times New Roman" w:cs="Times New Roman"/>
          <w:i/>
          <w:spacing w:val="-2"/>
          <w:sz w:val="24"/>
          <w:szCs w:val="24"/>
        </w:rPr>
        <w:t>Gregory</w:t>
      </w:r>
      <w:proofErr w:type="spellEnd"/>
      <w:r w:rsidRPr="004563EE">
        <w:rPr>
          <w:rFonts w:ascii="Times New Roman" w:eastAsia="Calibri" w:hAnsi="Times New Roman" w:cs="Times New Roman"/>
          <w:i/>
          <w:spacing w:val="-2"/>
          <w:sz w:val="24"/>
          <w:szCs w:val="24"/>
        </w:rPr>
        <w:t xml:space="preserve">) </w:t>
      </w:r>
      <w:proofErr w:type="spellStart"/>
      <w:r w:rsidRPr="004563EE">
        <w:rPr>
          <w:rFonts w:ascii="Times New Roman" w:eastAsia="Calibri" w:hAnsi="Times New Roman" w:cs="Times New Roman"/>
          <w:i/>
          <w:spacing w:val="-2"/>
          <w:sz w:val="24"/>
          <w:szCs w:val="24"/>
        </w:rPr>
        <w:t>Cleve</w:t>
      </w:r>
      <w:proofErr w:type="spellEnd"/>
      <w:r w:rsidRPr="004563EE">
        <w:rPr>
          <w:rFonts w:ascii="Times New Roman" w:eastAsia="Calibri" w:hAnsi="Times New Roman" w:cs="Times New Roman"/>
          <w:i/>
          <w:spacing w:val="-2"/>
          <w:sz w:val="24"/>
          <w:szCs w:val="24"/>
        </w:rPr>
        <w:t>.</w:t>
      </w:r>
    </w:p>
    <w:p w:rsidR="00D76F7B" w:rsidRDefault="00D76F7B" w:rsidP="004563EE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F7B">
        <w:rPr>
          <w:rFonts w:ascii="Times New Roman" w:eastAsia="Calibri" w:hAnsi="Times New Roman" w:cs="Times New Roman"/>
          <w:sz w:val="24"/>
          <w:szCs w:val="24"/>
        </w:rPr>
        <w:t xml:space="preserve">Полученные результаты степени </w:t>
      </w:r>
      <w:proofErr w:type="spellStart"/>
      <w:r w:rsidRPr="00D76F7B">
        <w:rPr>
          <w:rFonts w:ascii="Times New Roman" w:eastAsia="Calibri" w:hAnsi="Times New Roman" w:cs="Times New Roman"/>
          <w:sz w:val="24"/>
          <w:szCs w:val="24"/>
        </w:rPr>
        <w:t>сапробности</w:t>
      </w:r>
      <w:proofErr w:type="spellEnd"/>
      <w:r w:rsidRPr="00D76F7B">
        <w:rPr>
          <w:rFonts w:ascii="Times New Roman" w:eastAsia="Calibri" w:hAnsi="Times New Roman" w:cs="Times New Roman"/>
          <w:sz w:val="24"/>
          <w:szCs w:val="24"/>
        </w:rPr>
        <w:t xml:space="preserve"> озер подтверждаются и нашими наблюдениями во время экскурсий. Воду наибольш</w:t>
      </w:r>
      <w:r w:rsidR="004563EE">
        <w:rPr>
          <w:rFonts w:ascii="Times New Roman" w:eastAsia="Calibri" w:hAnsi="Times New Roman" w:cs="Times New Roman"/>
          <w:sz w:val="24"/>
          <w:szCs w:val="24"/>
        </w:rPr>
        <w:t>ей прозрачности мы наблюдали на </w:t>
      </w:r>
      <w:r w:rsidRPr="00D76F7B">
        <w:rPr>
          <w:rFonts w:ascii="Times New Roman" w:eastAsia="Calibri" w:hAnsi="Times New Roman" w:cs="Times New Roman"/>
          <w:sz w:val="24"/>
          <w:szCs w:val="24"/>
        </w:rPr>
        <w:t xml:space="preserve">озере </w:t>
      </w:r>
      <w:proofErr w:type="spellStart"/>
      <w:r w:rsidRPr="00D76F7B">
        <w:rPr>
          <w:rFonts w:ascii="Times New Roman" w:eastAsia="Calibri" w:hAnsi="Times New Roman" w:cs="Times New Roman"/>
          <w:sz w:val="24"/>
          <w:szCs w:val="24"/>
        </w:rPr>
        <w:t>Сорро</w:t>
      </w:r>
      <w:proofErr w:type="spellEnd"/>
      <w:r w:rsidRPr="00D76F7B">
        <w:rPr>
          <w:rFonts w:ascii="Times New Roman" w:eastAsia="Calibri" w:hAnsi="Times New Roman" w:cs="Times New Roman"/>
          <w:sz w:val="24"/>
          <w:szCs w:val="24"/>
        </w:rPr>
        <w:t xml:space="preserve">. Это озеро имеет около 10 км в длину и глубину до 36 м. Его берега заселены в небольшой степени. Большая часть береговой линии – это склоны поросшие лесом, не использующиеся в сельском хозяйстве. Озеро </w:t>
      </w:r>
      <w:proofErr w:type="spellStart"/>
      <w:r w:rsidRPr="00D76F7B">
        <w:rPr>
          <w:rFonts w:ascii="Times New Roman" w:eastAsia="Calibri" w:hAnsi="Times New Roman" w:cs="Times New Roman"/>
          <w:sz w:val="24"/>
          <w:szCs w:val="24"/>
        </w:rPr>
        <w:t>Ходцы</w:t>
      </w:r>
      <w:proofErr w:type="spellEnd"/>
      <w:r w:rsidR="004563EE">
        <w:rPr>
          <w:rFonts w:ascii="Times New Roman" w:eastAsia="Calibri" w:hAnsi="Times New Roman" w:cs="Times New Roman"/>
          <w:sz w:val="24"/>
          <w:szCs w:val="24"/>
        </w:rPr>
        <w:t xml:space="preserve"> находится близко от </w:t>
      </w:r>
      <w:r w:rsidRPr="00D76F7B">
        <w:rPr>
          <w:rFonts w:ascii="Times New Roman" w:eastAsia="Calibri" w:hAnsi="Times New Roman" w:cs="Times New Roman"/>
          <w:sz w:val="24"/>
          <w:szCs w:val="24"/>
        </w:rPr>
        <w:t xml:space="preserve">трассы Р25 и окружено с трёх сторон хозяйственными и бытовыми </w:t>
      </w:r>
      <w:r w:rsidR="004563EE">
        <w:rPr>
          <w:rFonts w:ascii="Times New Roman" w:eastAsia="Calibri" w:hAnsi="Times New Roman" w:cs="Times New Roman"/>
          <w:sz w:val="24"/>
          <w:szCs w:val="24"/>
        </w:rPr>
        <w:t xml:space="preserve">объектами, </w:t>
      </w:r>
      <w:r w:rsidR="004563EE">
        <w:rPr>
          <w:rFonts w:ascii="Times New Roman" w:eastAsia="Calibri" w:hAnsi="Times New Roman" w:cs="Times New Roman"/>
          <w:sz w:val="24"/>
          <w:szCs w:val="24"/>
        </w:rPr>
        <w:lastRenderedPageBreak/>
        <w:t>и </w:t>
      </w:r>
      <w:r w:rsidRPr="00D76F7B">
        <w:rPr>
          <w:rFonts w:ascii="Times New Roman" w:eastAsia="Calibri" w:hAnsi="Times New Roman" w:cs="Times New Roman"/>
          <w:sz w:val="24"/>
          <w:szCs w:val="24"/>
        </w:rPr>
        <w:t>только с северной стороны озера находится лесной массив. Данное озеро имеет относительно небольшие размеры и его способность к самоочищению сильно снижена за счет вышеперечисленных факторов. Со всех сторон от озера Серокоротня расположено несколько деревень, вдоль всего озера проходит автомобильная трасса Р86. На озере проводится промысловый и любительский лов рыбы [1]. В этом водоеме мы отметили наименьшую прозрачность воды. Много лодок, которые использует местное население. Но самое главное – это огороды и сельскохозяйственные угодья, которые подходят очень близко к береговой линии.</w:t>
      </w:r>
    </w:p>
    <w:p w:rsidR="00CC4D74" w:rsidRDefault="00CC4D74" w:rsidP="00CC4D7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63EE" w:rsidRPr="004563EE" w:rsidRDefault="004563EE" w:rsidP="004563EE">
      <w:pPr>
        <w:spacing w:after="0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563EE">
        <w:rPr>
          <w:rFonts w:ascii="Times New Roman" w:eastAsia="Calibri" w:hAnsi="Times New Roman" w:cs="Times New Roman"/>
          <w:b/>
          <w:sz w:val="24"/>
          <w:szCs w:val="24"/>
        </w:rPr>
        <w:t>Литература:</w:t>
      </w:r>
    </w:p>
    <w:p w:rsidR="00D76F7B" w:rsidRPr="00D76F7B" w:rsidRDefault="00D76F7B" w:rsidP="004563EE">
      <w:pPr>
        <w:numPr>
          <w:ilvl w:val="0"/>
          <w:numId w:val="2"/>
        </w:numPr>
        <w:spacing w:after="0" w:line="259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F7B">
        <w:rPr>
          <w:rFonts w:ascii="Times New Roman" w:eastAsia="Calibri" w:hAnsi="Times New Roman" w:cs="Times New Roman"/>
          <w:sz w:val="24"/>
          <w:szCs w:val="24"/>
        </w:rPr>
        <w:t xml:space="preserve">Природа Беларуси. Энциклопедия. Мн.: Изд-во «Советская Энциклопедия», 1986. </w:t>
      </w:r>
    </w:p>
    <w:p w:rsidR="00D76F7B" w:rsidRPr="00D76F7B" w:rsidRDefault="00D76F7B" w:rsidP="004563EE">
      <w:pPr>
        <w:numPr>
          <w:ilvl w:val="0"/>
          <w:numId w:val="2"/>
        </w:numPr>
        <w:spacing w:after="0" w:line="259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F7B">
        <w:rPr>
          <w:rFonts w:ascii="Times New Roman" w:eastAsia="Calibri" w:hAnsi="Times New Roman" w:cs="Times New Roman"/>
          <w:sz w:val="24"/>
          <w:szCs w:val="24"/>
        </w:rPr>
        <w:t xml:space="preserve">Протасов А.А., Синицына О.О. (1996) О пространственной структуре перифитона. </w:t>
      </w:r>
      <w:proofErr w:type="spellStart"/>
      <w:r w:rsidRPr="00D76F7B">
        <w:rPr>
          <w:rFonts w:ascii="Times New Roman" w:eastAsia="Calibri" w:hAnsi="Times New Roman" w:cs="Times New Roman"/>
          <w:sz w:val="24"/>
          <w:szCs w:val="24"/>
        </w:rPr>
        <w:t>Гидробиол</w:t>
      </w:r>
      <w:proofErr w:type="spellEnd"/>
      <w:r w:rsidRPr="00D76F7B">
        <w:rPr>
          <w:rFonts w:ascii="Times New Roman" w:eastAsia="Calibri" w:hAnsi="Times New Roman" w:cs="Times New Roman"/>
          <w:sz w:val="24"/>
          <w:szCs w:val="24"/>
        </w:rPr>
        <w:t xml:space="preserve">. журн. 32(2): 11-22. </w:t>
      </w:r>
    </w:p>
    <w:p w:rsidR="00D76F7B" w:rsidRPr="00D76F7B" w:rsidRDefault="00D76F7B" w:rsidP="004563EE">
      <w:pPr>
        <w:numPr>
          <w:ilvl w:val="0"/>
          <w:numId w:val="2"/>
        </w:numPr>
        <w:spacing w:after="0" w:line="259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76F7B">
        <w:rPr>
          <w:rFonts w:ascii="Times New Roman" w:eastAsia="Calibri" w:hAnsi="Times New Roman" w:cs="Times New Roman"/>
          <w:sz w:val="24"/>
          <w:szCs w:val="24"/>
        </w:rPr>
        <w:t>Раилкин</w:t>
      </w:r>
      <w:proofErr w:type="spellEnd"/>
      <w:r w:rsidRPr="00D76F7B">
        <w:rPr>
          <w:rFonts w:ascii="Times New Roman" w:eastAsia="Calibri" w:hAnsi="Times New Roman" w:cs="Times New Roman"/>
          <w:sz w:val="24"/>
          <w:szCs w:val="24"/>
        </w:rPr>
        <w:t xml:space="preserve"> А.И. (2008) К</w:t>
      </w:r>
      <w:bookmarkStart w:id="0" w:name="_GoBack"/>
      <w:bookmarkEnd w:id="0"/>
      <w:r w:rsidRPr="00D76F7B">
        <w:rPr>
          <w:rFonts w:ascii="Times New Roman" w:eastAsia="Calibri" w:hAnsi="Times New Roman" w:cs="Times New Roman"/>
          <w:sz w:val="24"/>
          <w:szCs w:val="24"/>
        </w:rPr>
        <w:t xml:space="preserve">олонизация твердых тел бентосными организмами. </w:t>
      </w:r>
      <w:proofErr w:type="gramStart"/>
      <w:r w:rsidRPr="00D76F7B">
        <w:rPr>
          <w:rFonts w:ascii="Times New Roman" w:eastAsia="Calibri" w:hAnsi="Times New Roman" w:cs="Times New Roman"/>
          <w:sz w:val="24"/>
          <w:szCs w:val="24"/>
        </w:rPr>
        <w:t>СПб.,</w:t>
      </w:r>
      <w:proofErr w:type="gramEnd"/>
      <w:r w:rsidRPr="00D76F7B">
        <w:rPr>
          <w:rFonts w:ascii="Times New Roman" w:eastAsia="Calibri" w:hAnsi="Times New Roman" w:cs="Times New Roman"/>
          <w:sz w:val="24"/>
          <w:szCs w:val="24"/>
        </w:rPr>
        <w:t xml:space="preserve"> Изд-во Санкт-</w:t>
      </w:r>
      <w:proofErr w:type="spellStart"/>
      <w:r w:rsidRPr="00D76F7B">
        <w:rPr>
          <w:rFonts w:ascii="Times New Roman" w:eastAsia="Calibri" w:hAnsi="Times New Roman" w:cs="Times New Roman"/>
          <w:sz w:val="24"/>
          <w:szCs w:val="24"/>
        </w:rPr>
        <w:t>Петерб</w:t>
      </w:r>
      <w:proofErr w:type="spellEnd"/>
      <w:r w:rsidRPr="00D76F7B">
        <w:rPr>
          <w:rFonts w:ascii="Times New Roman" w:eastAsia="Calibri" w:hAnsi="Times New Roman" w:cs="Times New Roman"/>
          <w:sz w:val="24"/>
          <w:szCs w:val="24"/>
        </w:rPr>
        <w:t>. ун-та. 427 с.</w:t>
      </w:r>
    </w:p>
    <w:p w:rsidR="00D77A00" w:rsidRPr="00D76F7B" w:rsidRDefault="00D77A00">
      <w:pPr>
        <w:rPr>
          <w:rFonts w:ascii="Times New Roman" w:hAnsi="Times New Roman" w:cs="Times New Roman"/>
          <w:sz w:val="24"/>
          <w:szCs w:val="24"/>
        </w:rPr>
      </w:pPr>
    </w:p>
    <w:sectPr w:rsidR="00D77A00" w:rsidRPr="00D76F7B" w:rsidSect="00D76F7B">
      <w:pgSz w:w="11906" w:h="16838"/>
      <w:pgMar w:top="1134" w:right="141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61F92"/>
    <w:multiLevelType w:val="hybridMultilevel"/>
    <w:tmpl w:val="CA0012A0"/>
    <w:lvl w:ilvl="0" w:tplc="0419000F">
      <w:start w:val="1"/>
      <w:numFmt w:val="decimal"/>
      <w:lvlText w:val="%1."/>
      <w:lvlJc w:val="left"/>
      <w:pPr>
        <w:ind w:left="-701" w:hanging="360"/>
      </w:pPr>
    </w:lvl>
    <w:lvl w:ilvl="1" w:tplc="04190019" w:tentative="1">
      <w:start w:val="1"/>
      <w:numFmt w:val="lowerLetter"/>
      <w:lvlText w:val="%2."/>
      <w:lvlJc w:val="left"/>
      <w:pPr>
        <w:ind w:left="19" w:hanging="360"/>
      </w:pPr>
    </w:lvl>
    <w:lvl w:ilvl="2" w:tplc="0419001B" w:tentative="1">
      <w:start w:val="1"/>
      <w:numFmt w:val="lowerRoman"/>
      <w:lvlText w:val="%3."/>
      <w:lvlJc w:val="right"/>
      <w:pPr>
        <w:ind w:left="739" w:hanging="180"/>
      </w:pPr>
    </w:lvl>
    <w:lvl w:ilvl="3" w:tplc="0419000F" w:tentative="1">
      <w:start w:val="1"/>
      <w:numFmt w:val="decimal"/>
      <w:lvlText w:val="%4."/>
      <w:lvlJc w:val="left"/>
      <w:pPr>
        <w:ind w:left="1459" w:hanging="360"/>
      </w:pPr>
    </w:lvl>
    <w:lvl w:ilvl="4" w:tplc="04190019" w:tentative="1">
      <w:start w:val="1"/>
      <w:numFmt w:val="lowerLetter"/>
      <w:lvlText w:val="%5."/>
      <w:lvlJc w:val="left"/>
      <w:pPr>
        <w:ind w:left="2179" w:hanging="360"/>
      </w:pPr>
    </w:lvl>
    <w:lvl w:ilvl="5" w:tplc="0419001B" w:tentative="1">
      <w:start w:val="1"/>
      <w:numFmt w:val="lowerRoman"/>
      <w:lvlText w:val="%6."/>
      <w:lvlJc w:val="right"/>
      <w:pPr>
        <w:ind w:left="2899" w:hanging="180"/>
      </w:pPr>
    </w:lvl>
    <w:lvl w:ilvl="6" w:tplc="0419000F" w:tentative="1">
      <w:start w:val="1"/>
      <w:numFmt w:val="decimal"/>
      <w:lvlText w:val="%7."/>
      <w:lvlJc w:val="left"/>
      <w:pPr>
        <w:ind w:left="3619" w:hanging="360"/>
      </w:pPr>
    </w:lvl>
    <w:lvl w:ilvl="7" w:tplc="04190019" w:tentative="1">
      <w:start w:val="1"/>
      <w:numFmt w:val="lowerLetter"/>
      <w:lvlText w:val="%8."/>
      <w:lvlJc w:val="left"/>
      <w:pPr>
        <w:ind w:left="4339" w:hanging="360"/>
      </w:pPr>
    </w:lvl>
    <w:lvl w:ilvl="8" w:tplc="0419001B" w:tentative="1">
      <w:start w:val="1"/>
      <w:numFmt w:val="lowerRoman"/>
      <w:lvlText w:val="%9."/>
      <w:lvlJc w:val="right"/>
      <w:pPr>
        <w:ind w:left="5059" w:hanging="180"/>
      </w:pPr>
    </w:lvl>
  </w:abstractNum>
  <w:abstractNum w:abstractNumId="1" w15:restartNumberingAfterBreak="0">
    <w:nsid w:val="41AD3EBA"/>
    <w:multiLevelType w:val="hybridMultilevel"/>
    <w:tmpl w:val="703E83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F7B"/>
    <w:rsid w:val="000B767F"/>
    <w:rsid w:val="0018652A"/>
    <w:rsid w:val="00254FC8"/>
    <w:rsid w:val="002A65C0"/>
    <w:rsid w:val="004563EE"/>
    <w:rsid w:val="00CC4D74"/>
    <w:rsid w:val="00D76F7B"/>
    <w:rsid w:val="00D77A00"/>
    <w:rsid w:val="00DE6E09"/>
    <w:rsid w:val="00EE38F9"/>
    <w:rsid w:val="00FA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7AF052-7979-40A1-B1FB-5BC55ABB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6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F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Учетная запись Майкрософт</cp:lastModifiedBy>
  <cp:revision>8</cp:revision>
  <dcterms:created xsi:type="dcterms:W3CDTF">2021-03-19T21:45:00Z</dcterms:created>
  <dcterms:modified xsi:type="dcterms:W3CDTF">2021-07-14T11:59:00Z</dcterms:modified>
</cp:coreProperties>
</file>