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7B" w:rsidRDefault="00D76F7B" w:rsidP="00D7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F7B">
        <w:rPr>
          <w:rFonts w:ascii="Times New Roman" w:eastAsia="Calibri" w:hAnsi="Times New Roman" w:cs="Times New Roman"/>
          <w:b/>
          <w:sz w:val="24"/>
          <w:szCs w:val="24"/>
        </w:rPr>
        <w:t>ФИТОПЕРИФИ</w:t>
      </w:r>
      <w:r w:rsidR="004563EE">
        <w:rPr>
          <w:rFonts w:ascii="Times New Roman" w:eastAsia="Calibri" w:hAnsi="Times New Roman" w:cs="Times New Roman"/>
          <w:b/>
          <w:sz w:val="24"/>
          <w:szCs w:val="24"/>
        </w:rPr>
        <w:t>ТОН НА ИСКУССТВЕННЫХ СУБСТРАТАХ</w:t>
      </w:r>
      <w:r w:rsidRPr="00D76F7B">
        <w:rPr>
          <w:rFonts w:ascii="Times New Roman" w:eastAsia="Calibri" w:hAnsi="Times New Roman" w:cs="Times New Roman"/>
          <w:b/>
          <w:sz w:val="24"/>
          <w:szCs w:val="24"/>
        </w:rPr>
        <w:t xml:space="preserve"> КАК</w:t>
      </w:r>
      <w:r w:rsidR="004563E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D76F7B">
        <w:rPr>
          <w:rFonts w:ascii="Times New Roman" w:eastAsia="Calibri" w:hAnsi="Times New Roman" w:cs="Times New Roman"/>
          <w:b/>
          <w:sz w:val="24"/>
          <w:szCs w:val="24"/>
        </w:rPr>
        <w:t>ПОКАЗАТЕЛЬ ОЦЕНКИ ЭКОЛОГИЧЕСКОГО СОСТОЯНИЯ ТРЁХ</w:t>
      </w:r>
      <w:r w:rsidR="004563E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D76F7B">
        <w:rPr>
          <w:rFonts w:ascii="Times New Roman" w:eastAsia="Calibri" w:hAnsi="Times New Roman" w:cs="Times New Roman"/>
          <w:b/>
          <w:sz w:val="24"/>
          <w:szCs w:val="24"/>
        </w:rPr>
        <w:t>ОЗЁР</w:t>
      </w:r>
      <w:r w:rsidR="004563E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D76F7B">
        <w:rPr>
          <w:rFonts w:ascii="Times New Roman" w:eastAsia="Calibri" w:hAnsi="Times New Roman" w:cs="Times New Roman"/>
          <w:b/>
          <w:sz w:val="24"/>
          <w:szCs w:val="24"/>
        </w:rPr>
        <w:t>ВИТЕБСКОЙ ОБЛАСТИ</w:t>
      </w:r>
    </w:p>
    <w:p w:rsidR="00254FC8" w:rsidRPr="00D76F7B" w:rsidRDefault="00254FC8" w:rsidP="00D7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F7B" w:rsidRPr="00D76F7B" w:rsidRDefault="00D76F7B" w:rsidP="00D76F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>Шибанов Г. А.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6F7B">
        <w:rPr>
          <w:rFonts w:ascii="Times New Roman" w:eastAsia="Calibri" w:hAnsi="Times New Roman" w:cs="Times New Roman"/>
          <w:sz w:val="24"/>
          <w:szCs w:val="24"/>
          <w:u w:val="single"/>
        </w:rPr>
        <w:t>Корбан 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D76F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</w:t>
      </w:r>
      <w:r w:rsidRPr="00D76F7B">
        <w:rPr>
          <w:rFonts w:ascii="Times New Roman" w:eastAsia="Calibri" w:hAnsi="Times New Roman" w:cs="Times New Roman"/>
          <w:sz w:val="24"/>
          <w:szCs w:val="24"/>
        </w:rPr>
        <w:t>.</w:t>
      </w:r>
      <w:r w:rsidRPr="00D76F7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:rsidR="00FA2FBC" w:rsidRPr="00254FC8" w:rsidRDefault="00FA2FBC" w:rsidP="00FA2F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4FC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="00D76F7B" w:rsidRPr="00254FC8">
        <w:rPr>
          <w:rFonts w:ascii="Times New Roman" w:eastAsia="Calibri" w:hAnsi="Times New Roman" w:cs="Times New Roman"/>
          <w:i/>
          <w:sz w:val="24"/>
          <w:szCs w:val="24"/>
        </w:rPr>
        <w:t>ГУО "Гимназия №1 г. Витебска имени Ж.И.Алфёрова"</w:t>
      </w:r>
    </w:p>
    <w:p w:rsidR="00FA2FBC" w:rsidRDefault="00FA2FBC" w:rsidP="00FA2F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4FC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254FC8">
        <w:rPr>
          <w:rFonts w:ascii="Times New Roman" w:eastAsia="Calibri" w:hAnsi="Times New Roman" w:cs="Times New Roman"/>
          <w:i/>
          <w:sz w:val="24"/>
          <w:szCs w:val="24"/>
        </w:rPr>
        <w:t>ГУДО «Витебский областной дворец детей и молодежи»</w:t>
      </w:r>
    </w:p>
    <w:p w:rsidR="00254FC8" w:rsidRPr="00254FC8" w:rsidRDefault="00254FC8" w:rsidP="00FA2F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6F7B" w:rsidRPr="00D76F7B" w:rsidRDefault="00D76F7B" w:rsidP="001865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>В 2020 году мы обследовали три водоема Витебской области методами анализа фитоперифитона на искусственных субстратах. Данная группа методов предполагает изучение организмов обрастания, которые являются в</w:t>
      </w:r>
      <w:r w:rsidR="004563EE">
        <w:rPr>
          <w:rFonts w:ascii="Times New Roman" w:eastAsia="Calibri" w:hAnsi="Times New Roman" w:cs="Times New Roman"/>
          <w:sz w:val="24"/>
          <w:szCs w:val="24"/>
        </w:rPr>
        <w:t>есьма показательной группой для </w:t>
      </w:r>
      <w:r w:rsidRPr="00D76F7B">
        <w:rPr>
          <w:rFonts w:ascii="Times New Roman" w:eastAsia="Calibri" w:hAnsi="Times New Roman" w:cs="Times New Roman"/>
          <w:sz w:val="24"/>
          <w:szCs w:val="24"/>
        </w:rPr>
        <w:t>анализа экологического состояния вод. Для обследования были выбраны три водоёма в различной степени подверженные влиянию человека. Это озера Серокоротня, Ходцы и Сорро</w:t>
      </w:r>
      <w:r w:rsidR="002A6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5C0" w:rsidRPr="00D76F7B">
        <w:rPr>
          <w:rFonts w:ascii="Times New Roman" w:eastAsia="Calibri" w:hAnsi="Times New Roman" w:cs="Times New Roman"/>
          <w:sz w:val="24"/>
          <w:szCs w:val="24"/>
        </w:rPr>
        <w:t>[1]</w:t>
      </w:r>
      <w:r w:rsidRPr="00D76F7B">
        <w:rPr>
          <w:rFonts w:ascii="Times New Roman" w:eastAsia="Calibri" w:hAnsi="Times New Roman" w:cs="Times New Roman"/>
          <w:sz w:val="24"/>
          <w:szCs w:val="24"/>
        </w:rPr>
        <w:t>. По берегам озер расположены населенные пункты, все три озера подвергаются промысловой нагрузке (используются для</w:t>
      </w:r>
      <w:r w:rsidR="004563EE">
        <w:rPr>
          <w:rFonts w:ascii="Times New Roman" w:eastAsia="Calibri" w:hAnsi="Times New Roman" w:cs="Times New Roman"/>
          <w:sz w:val="24"/>
          <w:szCs w:val="24"/>
        </w:rPr>
        <w:t xml:space="preserve"> добычи рыбных ресурсов), а так</w:t>
      </w:r>
      <w:r w:rsidRPr="00D76F7B">
        <w:rPr>
          <w:rFonts w:ascii="Times New Roman" w:eastAsia="Calibri" w:hAnsi="Times New Roman" w:cs="Times New Roman"/>
          <w:sz w:val="24"/>
          <w:szCs w:val="24"/>
        </w:rPr>
        <w:t>же эти озера используются населением в качестве туристических объектов.</w:t>
      </w:r>
    </w:p>
    <w:p w:rsidR="00D76F7B" w:rsidRPr="00D76F7B" w:rsidRDefault="00D76F7B" w:rsidP="004563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Мы поставили перед собой </w:t>
      </w:r>
      <w:r w:rsidRPr="00DE6E09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 на основании данных обследования фитоперифитона на искусственных субстратах оценить степень подверженности трех водоемов влиянию антропогенных факторов.</w:t>
      </w:r>
    </w:p>
    <w:p w:rsidR="00D76F7B" w:rsidRDefault="00D76F7B" w:rsidP="004563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В рамках выполнения работы были установлены </w:t>
      </w:r>
      <w:r w:rsidRPr="00DE6E09">
        <w:rPr>
          <w:rFonts w:ascii="Times New Roman" w:eastAsia="Calibri" w:hAnsi="Times New Roman" w:cs="Times New Roman"/>
          <w:sz w:val="24"/>
          <w:szCs w:val="24"/>
        </w:rPr>
        <w:t>задачи:</w:t>
      </w: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6F7B" w:rsidRPr="00D76F7B" w:rsidRDefault="00D76F7B" w:rsidP="004563E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>Выявить методами микроскопии органи</w:t>
      </w:r>
      <w:r w:rsidR="004563EE">
        <w:rPr>
          <w:rFonts w:ascii="Times New Roman" w:eastAsia="Calibri" w:hAnsi="Times New Roman" w:cs="Times New Roman"/>
          <w:sz w:val="24"/>
          <w:szCs w:val="24"/>
        </w:rPr>
        <w:t>змы индикаторы в соответствии с </w:t>
      </w: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методом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Пантле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Букка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 в модификации С</w:t>
      </w:r>
      <w:r w:rsidR="004563EE">
        <w:rPr>
          <w:rFonts w:ascii="Times New Roman" w:eastAsia="Calibri" w:hAnsi="Times New Roman" w:cs="Times New Roman"/>
          <w:sz w:val="24"/>
          <w:szCs w:val="24"/>
        </w:rPr>
        <w:t>ладечека в пробах перифитона из </w:t>
      </w:r>
      <w:r w:rsidRPr="00D76F7B">
        <w:rPr>
          <w:rFonts w:ascii="Times New Roman" w:eastAsia="Calibri" w:hAnsi="Times New Roman" w:cs="Times New Roman"/>
          <w:sz w:val="24"/>
          <w:szCs w:val="24"/>
        </w:rPr>
        <w:t>обследованных озёр</w:t>
      </w:r>
      <w:r w:rsidR="004563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F7B" w:rsidRPr="00D76F7B" w:rsidRDefault="00D76F7B" w:rsidP="004563E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сапробность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 обследованных озер согласно используемой методике исследования</w:t>
      </w:r>
      <w:r w:rsidR="004563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F7B" w:rsidRPr="00D76F7B" w:rsidRDefault="00D76F7B" w:rsidP="004563E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Дать оценку экологического состояния озер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Ходцы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Сорро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Серокоротня</w:t>
      </w:r>
      <w:proofErr w:type="spellEnd"/>
      <w:r w:rsidR="004563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F7B" w:rsidRPr="00D76F7B" w:rsidRDefault="00D76F7B" w:rsidP="004563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>В летний период 2020 года мы организовали экскурсии на выбранные заранее озера. В каждом озере были установлены по три уста</w:t>
      </w:r>
      <w:r w:rsidR="004563EE">
        <w:rPr>
          <w:rFonts w:ascii="Times New Roman" w:eastAsia="Calibri" w:hAnsi="Times New Roman" w:cs="Times New Roman"/>
          <w:sz w:val="24"/>
          <w:szCs w:val="24"/>
        </w:rPr>
        <w:t>новки со стеклами на глубине 15</w:t>
      </w:r>
      <w:r w:rsidR="004563EE">
        <w:rPr>
          <w:rFonts w:ascii="Times New Roman" w:eastAsia="Calibri" w:hAnsi="Times New Roman" w:cs="Times New Roman"/>
          <w:sz w:val="24"/>
          <w:szCs w:val="24"/>
        </w:rPr>
        <w:noBreakHyphen/>
      </w: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20 см [3]. Стекла экспонировались в течение десяти суток. Затем мы просматривали пробы при помощи светового микроскопа. Выявляли организмы-индикаторы чистоты вод (по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Пантле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Букку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>)</w:t>
      </w:r>
      <w:r w:rsidR="00FA2FBC" w:rsidRPr="00254FC8">
        <w:rPr>
          <w:rFonts w:ascii="Times New Roman" w:eastAsia="Calibri" w:hAnsi="Times New Roman" w:cs="Times New Roman"/>
          <w:sz w:val="24"/>
          <w:szCs w:val="24"/>
        </w:rPr>
        <w:t xml:space="preserve"> [3]</w:t>
      </w:r>
      <w:r w:rsidR="00FA2FBC" w:rsidRPr="00D76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F7B" w:rsidRPr="00D76F7B" w:rsidRDefault="00D76F7B" w:rsidP="004563EE">
      <w:pPr>
        <w:spacing w:after="12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Сапробность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 водоемов определяли в соответствии с формулой Пантле Букка: </w:t>
      </w:r>
      <m:oMath>
        <m:sSub>
          <m:sSub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ind</m:t>
            </m:r>
          </m:sub>
        </m:sSub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Times New Roman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(sh)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h</m:t>
                </m:r>
              </m:e>
            </m:nary>
          </m:den>
        </m:f>
      </m:oMath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, где s – сапробность каждого индикаторного вида в пробе, h – обилие этого вида – в баллах от 1 до 5 (случайные находки – 1, частая встречаемость 3, массовое развитие – 5).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2072"/>
        <w:gridCol w:w="1559"/>
        <w:gridCol w:w="1701"/>
      </w:tblGrid>
      <w:tr w:rsidR="00D76F7B" w:rsidRPr="00D76F7B" w:rsidTr="004563EE">
        <w:trPr>
          <w:jc w:val="center"/>
        </w:trPr>
        <w:tc>
          <w:tcPr>
            <w:tcW w:w="2457" w:type="dxa"/>
          </w:tcPr>
          <w:p w:rsidR="00D76F7B" w:rsidRPr="00D76F7B" w:rsidRDefault="00D76F7B" w:rsidP="0018652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B">
              <w:rPr>
                <w:rFonts w:ascii="Times New Roman" w:eastAsia="Calibri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2072" w:type="dxa"/>
            <w:vAlign w:val="center"/>
          </w:tcPr>
          <w:p w:rsidR="00D76F7B" w:rsidRPr="00D76F7B" w:rsidRDefault="00D76F7B" w:rsidP="0018652A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7B">
              <w:rPr>
                <w:rFonts w:ascii="Times New Roman" w:eastAsia="Calibri" w:hAnsi="Times New Roman" w:cs="Times New Roman"/>
                <w:sz w:val="24"/>
                <w:szCs w:val="24"/>
              </w:rPr>
              <w:t>Серокоротня</w:t>
            </w:r>
          </w:p>
        </w:tc>
        <w:tc>
          <w:tcPr>
            <w:tcW w:w="1559" w:type="dxa"/>
            <w:vAlign w:val="center"/>
          </w:tcPr>
          <w:p w:rsidR="00D76F7B" w:rsidRPr="00D76F7B" w:rsidRDefault="00D76F7B" w:rsidP="0018652A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7B">
              <w:rPr>
                <w:rFonts w:ascii="Times New Roman" w:eastAsia="Calibri" w:hAnsi="Times New Roman" w:cs="Times New Roman"/>
                <w:sz w:val="24"/>
                <w:szCs w:val="24"/>
              </w:rPr>
              <w:t>Ходцы</w:t>
            </w:r>
          </w:p>
        </w:tc>
        <w:tc>
          <w:tcPr>
            <w:tcW w:w="1701" w:type="dxa"/>
            <w:vAlign w:val="center"/>
          </w:tcPr>
          <w:p w:rsidR="00D76F7B" w:rsidRPr="00D76F7B" w:rsidRDefault="00D76F7B" w:rsidP="0018652A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7B">
              <w:rPr>
                <w:rFonts w:ascii="Times New Roman" w:eastAsia="Calibri" w:hAnsi="Times New Roman" w:cs="Times New Roman"/>
                <w:sz w:val="24"/>
                <w:szCs w:val="24"/>
              </w:rPr>
              <w:t>Сорро</w:t>
            </w:r>
          </w:p>
        </w:tc>
      </w:tr>
      <w:tr w:rsidR="00D76F7B" w:rsidRPr="00D76F7B" w:rsidTr="004563EE">
        <w:trPr>
          <w:jc w:val="center"/>
        </w:trPr>
        <w:tc>
          <w:tcPr>
            <w:tcW w:w="2457" w:type="dxa"/>
          </w:tcPr>
          <w:p w:rsidR="00D76F7B" w:rsidRPr="00D76F7B" w:rsidRDefault="00D76F7B" w:rsidP="0018652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7B">
              <w:rPr>
                <w:rFonts w:ascii="Times New Roman" w:eastAsia="Calibri" w:hAnsi="Times New Roman" w:cs="Times New Roman"/>
                <w:sz w:val="24"/>
                <w:szCs w:val="24"/>
              </w:rPr>
              <w:t>Сапробность S:</w:t>
            </w:r>
          </w:p>
        </w:tc>
        <w:tc>
          <w:tcPr>
            <w:tcW w:w="2072" w:type="dxa"/>
            <w:vAlign w:val="center"/>
          </w:tcPr>
          <w:p w:rsidR="00D76F7B" w:rsidRPr="00D76F7B" w:rsidRDefault="00D76F7B" w:rsidP="0018652A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7B">
              <w:rPr>
                <w:rFonts w:ascii="Times New Roman" w:eastAsia="Calibri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559" w:type="dxa"/>
            <w:vAlign w:val="center"/>
          </w:tcPr>
          <w:p w:rsidR="00D76F7B" w:rsidRPr="00D76F7B" w:rsidRDefault="00D76F7B" w:rsidP="0018652A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7B">
              <w:rPr>
                <w:rFonts w:ascii="Times New Roman" w:eastAsia="Calibri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701" w:type="dxa"/>
            <w:vAlign w:val="center"/>
          </w:tcPr>
          <w:p w:rsidR="00D76F7B" w:rsidRPr="00D76F7B" w:rsidRDefault="00D76F7B" w:rsidP="0018652A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7B">
              <w:rPr>
                <w:rFonts w:ascii="Times New Roman" w:eastAsia="Calibri" w:hAnsi="Times New Roman" w:cs="Times New Roman"/>
                <w:sz w:val="24"/>
                <w:szCs w:val="24"/>
              </w:rPr>
              <w:t>1,35</w:t>
            </w:r>
          </w:p>
        </w:tc>
      </w:tr>
    </w:tbl>
    <w:p w:rsidR="00D76F7B" w:rsidRPr="00D76F7B" w:rsidRDefault="00D76F7B" w:rsidP="004563EE">
      <w:pPr>
        <w:spacing w:before="120"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>Выявили, что наиболее чистое и слабо подверженн</w:t>
      </w:r>
      <w:r w:rsidR="004563EE">
        <w:rPr>
          <w:rFonts w:ascii="Times New Roman" w:eastAsia="Calibri" w:hAnsi="Times New Roman" w:cs="Times New Roman"/>
          <w:sz w:val="24"/>
          <w:szCs w:val="24"/>
        </w:rPr>
        <w:t>ое антропогенной нагрузке – оз. 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Сорро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. Нагрузку средней степени испытывает оз. Ходцы. И наибольшей степени нагрузку испытывает оз.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Серокоротня</w:t>
      </w:r>
      <w:proofErr w:type="spellEnd"/>
      <w:r w:rsidRPr="00254FC8">
        <w:rPr>
          <w:rFonts w:ascii="Times New Roman" w:eastAsia="Calibri" w:hAnsi="Times New Roman" w:cs="Times New Roman"/>
          <w:sz w:val="24"/>
          <w:szCs w:val="24"/>
        </w:rPr>
        <w:t xml:space="preserve"> [2,3]</w:t>
      </w:r>
      <w:r w:rsidRPr="00D76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F7B" w:rsidRPr="004563EE" w:rsidRDefault="00D76F7B" w:rsidP="004563EE">
      <w:pPr>
        <w:spacing w:after="0"/>
        <w:ind w:firstLine="426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</w:rPr>
      </w:pPr>
      <w:r w:rsidRPr="004563E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пробах часто встречаемые виды: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Closterium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acutum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,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Cyanobacteria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Gomphosphaeria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lacustris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,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Closterium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lunula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,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Synedra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acus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,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Cymbella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turgida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(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Gregory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) </w:t>
      </w:r>
      <w:proofErr w:type="spellStart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Cleve</w:t>
      </w:r>
      <w:proofErr w:type="spellEnd"/>
      <w:r w:rsidRPr="004563EE">
        <w:rPr>
          <w:rFonts w:ascii="Times New Roman" w:eastAsia="Calibri" w:hAnsi="Times New Roman" w:cs="Times New Roman"/>
          <w:i/>
          <w:spacing w:val="-2"/>
          <w:sz w:val="24"/>
          <w:szCs w:val="24"/>
        </w:rPr>
        <w:t>.</w:t>
      </w:r>
    </w:p>
    <w:p w:rsidR="00D76F7B" w:rsidRDefault="00D76F7B" w:rsidP="004563EE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Полученные результаты степени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сапробности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 озер подтверждаются и нашими наблюдениями во время экскурсий. Воду наибольш</w:t>
      </w:r>
      <w:r w:rsidR="004563EE">
        <w:rPr>
          <w:rFonts w:ascii="Times New Roman" w:eastAsia="Calibri" w:hAnsi="Times New Roman" w:cs="Times New Roman"/>
          <w:sz w:val="24"/>
          <w:szCs w:val="24"/>
        </w:rPr>
        <w:t>ей прозрачности мы наблюдали на </w:t>
      </w: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озере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Сорро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. Это озеро имеет около 10 км в длину и глубину до 36 м. Его берега заселены в небольшой степени. Большая часть береговой линии – это склоны поросшие лесом, не использующиеся в сельском хозяйстве. Озеро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Ходцы</w:t>
      </w:r>
      <w:proofErr w:type="spellEnd"/>
      <w:r w:rsidR="004563EE">
        <w:rPr>
          <w:rFonts w:ascii="Times New Roman" w:eastAsia="Calibri" w:hAnsi="Times New Roman" w:cs="Times New Roman"/>
          <w:sz w:val="24"/>
          <w:szCs w:val="24"/>
        </w:rPr>
        <w:t xml:space="preserve"> находится близко от </w:t>
      </w: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трассы Р25 и окружено с трёх сторон хозяйственными и бытовыми </w:t>
      </w:r>
      <w:r w:rsidR="004563EE">
        <w:rPr>
          <w:rFonts w:ascii="Times New Roman" w:eastAsia="Calibri" w:hAnsi="Times New Roman" w:cs="Times New Roman"/>
          <w:sz w:val="24"/>
          <w:szCs w:val="24"/>
        </w:rPr>
        <w:t xml:space="preserve">объектами, </w:t>
      </w:r>
      <w:r w:rsidR="004563EE">
        <w:rPr>
          <w:rFonts w:ascii="Times New Roman" w:eastAsia="Calibri" w:hAnsi="Times New Roman" w:cs="Times New Roman"/>
          <w:sz w:val="24"/>
          <w:szCs w:val="24"/>
        </w:rPr>
        <w:lastRenderedPageBreak/>
        <w:t>и </w:t>
      </w:r>
      <w:r w:rsidRPr="00D76F7B">
        <w:rPr>
          <w:rFonts w:ascii="Times New Roman" w:eastAsia="Calibri" w:hAnsi="Times New Roman" w:cs="Times New Roman"/>
          <w:sz w:val="24"/>
          <w:szCs w:val="24"/>
        </w:rPr>
        <w:t>только с северной стороны озера находится лесной массив. Данное озеро имеет относительно небольшие размеры и его способность к самоочищению сильно снижена за счет вышеперечисленных факторов. Со всех сторон от озера Серокоротня расположено несколько деревень, вдоль всего озера проходит автомобильная трасса Р86. На озере проводится промысловый и любительский лов рыбы [1]. В этом водоеме мы отметили наименьшую прозрачность воды. Много лодок, которые использует местное население. Но самое главное – это огороды и сельскохозяйственные угодья, которые подходят очень близко к береговой линии.</w:t>
      </w:r>
    </w:p>
    <w:p w:rsidR="00CC4D74" w:rsidRDefault="00CC4D74" w:rsidP="00CC4D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3EE" w:rsidRPr="004563EE" w:rsidRDefault="004563EE" w:rsidP="004563EE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63EE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D76F7B" w:rsidRPr="00D76F7B" w:rsidRDefault="00D76F7B" w:rsidP="004563EE">
      <w:pPr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Природа Беларуси. Энциклопедия. Мн.: Изд-во «Советская Энциклопедия», 1986. </w:t>
      </w:r>
    </w:p>
    <w:p w:rsidR="00D76F7B" w:rsidRPr="00D76F7B" w:rsidRDefault="00D76F7B" w:rsidP="004563EE">
      <w:pPr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Протасов А.А., Синицына О.О. (1996) О пространственной структуре перифитона. 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Гидробиол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. журн. 32(2): 11-22. </w:t>
      </w:r>
    </w:p>
    <w:p w:rsidR="00D76F7B" w:rsidRPr="00D76F7B" w:rsidRDefault="00D76F7B" w:rsidP="004563EE">
      <w:pPr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Раилкин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 А.И. (2008) К</w:t>
      </w:r>
      <w:bookmarkStart w:id="0" w:name="_GoBack"/>
      <w:bookmarkEnd w:id="0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олонизация твердых тел бентосными организмами. </w:t>
      </w:r>
      <w:proofErr w:type="gramStart"/>
      <w:r w:rsidRPr="00D76F7B">
        <w:rPr>
          <w:rFonts w:ascii="Times New Roman" w:eastAsia="Calibri" w:hAnsi="Times New Roman" w:cs="Times New Roman"/>
          <w:sz w:val="24"/>
          <w:szCs w:val="24"/>
        </w:rPr>
        <w:t>СПб.,</w:t>
      </w:r>
      <w:proofErr w:type="gramEnd"/>
      <w:r w:rsidRPr="00D76F7B">
        <w:rPr>
          <w:rFonts w:ascii="Times New Roman" w:eastAsia="Calibri" w:hAnsi="Times New Roman" w:cs="Times New Roman"/>
          <w:sz w:val="24"/>
          <w:szCs w:val="24"/>
        </w:rPr>
        <w:t xml:space="preserve"> Изд-во Санкт-</w:t>
      </w:r>
      <w:proofErr w:type="spellStart"/>
      <w:r w:rsidRPr="00D76F7B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D76F7B">
        <w:rPr>
          <w:rFonts w:ascii="Times New Roman" w:eastAsia="Calibri" w:hAnsi="Times New Roman" w:cs="Times New Roman"/>
          <w:sz w:val="24"/>
          <w:szCs w:val="24"/>
        </w:rPr>
        <w:t>. ун-та. 427 с.</w:t>
      </w:r>
    </w:p>
    <w:p w:rsidR="00D77A00" w:rsidRPr="00D76F7B" w:rsidRDefault="00D77A00">
      <w:pPr>
        <w:rPr>
          <w:rFonts w:ascii="Times New Roman" w:hAnsi="Times New Roman" w:cs="Times New Roman"/>
          <w:sz w:val="24"/>
          <w:szCs w:val="24"/>
        </w:rPr>
      </w:pPr>
    </w:p>
    <w:sectPr w:rsidR="00D77A00" w:rsidRPr="00D76F7B" w:rsidSect="00D76F7B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1F92"/>
    <w:multiLevelType w:val="hybridMultilevel"/>
    <w:tmpl w:val="CA0012A0"/>
    <w:lvl w:ilvl="0" w:tplc="0419000F">
      <w:start w:val="1"/>
      <w:numFmt w:val="decimal"/>
      <w:lvlText w:val="%1."/>
      <w:lvlJc w:val="left"/>
      <w:pPr>
        <w:ind w:left="-701" w:hanging="360"/>
      </w:pPr>
    </w:lvl>
    <w:lvl w:ilvl="1" w:tplc="04190019" w:tentative="1">
      <w:start w:val="1"/>
      <w:numFmt w:val="lowerLetter"/>
      <w:lvlText w:val="%2."/>
      <w:lvlJc w:val="left"/>
      <w:pPr>
        <w:ind w:left="19" w:hanging="360"/>
      </w:pPr>
    </w:lvl>
    <w:lvl w:ilvl="2" w:tplc="0419001B" w:tentative="1">
      <w:start w:val="1"/>
      <w:numFmt w:val="lowerRoman"/>
      <w:lvlText w:val="%3."/>
      <w:lvlJc w:val="right"/>
      <w:pPr>
        <w:ind w:left="739" w:hanging="180"/>
      </w:pPr>
    </w:lvl>
    <w:lvl w:ilvl="3" w:tplc="0419000F" w:tentative="1">
      <w:start w:val="1"/>
      <w:numFmt w:val="decimal"/>
      <w:lvlText w:val="%4."/>
      <w:lvlJc w:val="left"/>
      <w:pPr>
        <w:ind w:left="1459" w:hanging="360"/>
      </w:pPr>
    </w:lvl>
    <w:lvl w:ilvl="4" w:tplc="04190019" w:tentative="1">
      <w:start w:val="1"/>
      <w:numFmt w:val="lowerLetter"/>
      <w:lvlText w:val="%5."/>
      <w:lvlJc w:val="left"/>
      <w:pPr>
        <w:ind w:left="2179" w:hanging="360"/>
      </w:pPr>
    </w:lvl>
    <w:lvl w:ilvl="5" w:tplc="0419001B" w:tentative="1">
      <w:start w:val="1"/>
      <w:numFmt w:val="lowerRoman"/>
      <w:lvlText w:val="%6."/>
      <w:lvlJc w:val="right"/>
      <w:pPr>
        <w:ind w:left="2899" w:hanging="180"/>
      </w:pPr>
    </w:lvl>
    <w:lvl w:ilvl="6" w:tplc="0419000F" w:tentative="1">
      <w:start w:val="1"/>
      <w:numFmt w:val="decimal"/>
      <w:lvlText w:val="%7."/>
      <w:lvlJc w:val="left"/>
      <w:pPr>
        <w:ind w:left="3619" w:hanging="360"/>
      </w:pPr>
    </w:lvl>
    <w:lvl w:ilvl="7" w:tplc="04190019" w:tentative="1">
      <w:start w:val="1"/>
      <w:numFmt w:val="lowerLetter"/>
      <w:lvlText w:val="%8."/>
      <w:lvlJc w:val="left"/>
      <w:pPr>
        <w:ind w:left="4339" w:hanging="360"/>
      </w:pPr>
    </w:lvl>
    <w:lvl w:ilvl="8" w:tplc="0419001B" w:tentative="1">
      <w:start w:val="1"/>
      <w:numFmt w:val="lowerRoman"/>
      <w:lvlText w:val="%9."/>
      <w:lvlJc w:val="right"/>
      <w:pPr>
        <w:ind w:left="5059" w:hanging="180"/>
      </w:pPr>
    </w:lvl>
  </w:abstractNum>
  <w:abstractNum w:abstractNumId="1" w15:restartNumberingAfterBreak="0">
    <w:nsid w:val="41AD3EBA"/>
    <w:multiLevelType w:val="hybridMultilevel"/>
    <w:tmpl w:val="703E83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F7B"/>
    <w:rsid w:val="000B767F"/>
    <w:rsid w:val="0018652A"/>
    <w:rsid w:val="00254FC8"/>
    <w:rsid w:val="002A65C0"/>
    <w:rsid w:val="004563EE"/>
    <w:rsid w:val="00CC4D74"/>
    <w:rsid w:val="00D76F7B"/>
    <w:rsid w:val="00D77A00"/>
    <w:rsid w:val="00DE6E09"/>
    <w:rsid w:val="00EE38F9"/>
    <w:rsid w:val="00F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F052-7979-40A1-B1FB-5BC55AB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Учетная запись Майкрософт</cp:lastModifiedBy>
  <cp:revision>8</cp:revision>
  <dcterms:created xsi:type="dcterms:W3CDTF">2021-03-19T21:45:00Z</dcterms:created>
  <dcterms:modified xsi:type="dcterms:W3CDTF">2021-07-14T11:59:00Z</dcterms:modified>
</cp:coreProperties>
</file>